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330" w:rsidRPr="001D2C3D" w:rsidRDefault="00553A82" w:rsidP="00717A94">
      <w:pPr>
        <w:jc w:val="center"/>
        <w:rPr>
          <w:rFonts w:ascii="Book Antiqua" w:eastAsia="Times New Roman" w:hAnsi="Book Antiqua" w:cs="Times New Roman"/>
          <w:b/>
          <w:sz w:val="28"/>
          <w:szCs w:val="32"/>
        </w:rPr>
      </w:pPr>
      <w:r w:rsidRPr="001D2C3D">
        <w:rPr>
          <w:rFonts w:ascii="Book Antiqua" w:hAnsi="Book Antiqua" w:cs="Times New Roman"/>
          <w:noProof/>
          <w:sz w:val="20"/>
          <w:szCs w:val="20"/>
        </w:rPr>
        <w:drawing>
          <wp:inline distT="0" distB="0" distL="0" distR="0" wp14:anchorId="50B0BA1A">
            <wp:extent cx="3761740" cy="485775"/>
            <wp:effectExtent l="19050" t="19050" r="10160" b="285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horizontal cro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1740" cy="4857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53A82" w:rsidRPr="001D2C3D" w:rsidRDefault="00553A82" w:rsidP="00717A94">
      <w:pPr>
        <w:jc w:val="center"/>
        <w:rPr>
          <w:rFonts w:ascii="Book Antiqua" w:eastAsia="Times New Roman" w:hAnsi="Book Antiqua" w:cs="Times New Roman"/>
          <w:b/>
          <w:sz w:val="28"/>
          <w:szCs w:val="32"/>
        </w:rPr>
      </w:pPr>
    </w:p>
    <w:p w:rsidR="001D1A50" w:rsidRPr="004D0B26" w:rsidRDefault="00E478E8" w:rsidP="00717A94">
      <w:pPr>
        <w:jc w:val="center"/>
        <w:rPr>
          <w:rFonts w:ascii="Book Antiqua" w:eastAsia="Times New Roman" w:hAnsi="Book Antiqua" w:cs="Times New Roman"/>
          <w:b/>
          <w:sz w:val="36"/>
          <w:szCs w:val="36"/>
        </w:rPr>
      </w:pPr>
      <w:r w:rsidRPr="004D0B26">
        <w:rPr>
          <w:rFonts w:ascii="Book Antiqua" w:eastAsia="Times New Roman" w:hAnsi="Book Antiqua" w:cs="Times New Roman"/>
          <w:b/>
          <w:sz w:val="36"/>
          <w:szCs w:val="36"/>
        </w:rPr>
        <w:t>ADA Defense</w:t>
      </w:r>
      <w:r w:rsidR="0092367B" w:rsidRPr="004D0B26">
        <w:rPr>
          <w:rFonts w:ascii="Book Antiqua" w:eastAsia="Times New Roman" w:hAnsi="Book Antiqua" w:cs="Times New Roman"/>
          <w:b/>
          <w:sz w:val="36"/>
          <w:szCs w:val="36"/>
        </w:rPr>
        <w:t xml:space="preserve"> Lawyers </w:t>
      </w:r>
      <w:bookmarkStart w:id="0" w:name="_Hlk507398585"/>
      <w:r w:rsidR="0092367B" w:rsidRPr="004D0B26">
        <w:rPr>
          <w:rFonts w:ascii="Book Antiqua" w:eastAsia="Times New Roman" w:hAnsi="Book Antiqua" w:cs="Times New Roman"/>
          <w:b/>
          <w:sz w:val="36"/>
          <w:szCs w:val="36"/>
        </w:rPr>
        <w:t>Prolong Litigation</w:t>
      </w:r>
      <w:r w:rsidR="003A1117">
        <w:rPr>
          <w:rFonts w:ascii="Book Antiqua" w:eastAsia="Times New Roman" w:hAnsi="Book Antiqua" w:cs="Times New Roman"/>
          <w:b/>
          <w:sz w:val="36"/>
          <w:szCs w:val="36"/>
        </w:rPr>
        <w:t xml:space="preserve"> and </w:t>
      </w:r>
      <w:r w:rsidRPr="004D0B26">
        <w:rPr>
          <w:rFonts w:ascii="Book Antiqua" w:eastAsia="Times New Roman" w:hAnsi="Book Antiqua" w:cs="Times New Roman"/>
          <w:b/>
          <w:sz w:val="36"/>
          <w:szCs w:val="36"/>
        </w:rPr>
        <w:t>Postpone Access</w:t>
      </w:r>
      <w:bookmarkEnd w:id="0"/>
      <w:r w:rsidRPr="004D0B26">
        <w:rPr>
          <w:rFonts w:ascii="Book Antiqua" w:eastAsia="Times New Roman" w:hAnsi="Book Antiqua" w:cs="Times New Roman"/>
          <w:b/>
          <w:sz w:val="36"/>
          <w:szCs w:val="36"/>
        </w:rPr>
        <w:t>:</w:t>
      </w:r>
      <w:r w:rsidR="003A1117">
        <w:rPr>
          <w:rFonts w:ascii="Book Antiqua" w:eastAsia="Times New Roman" w:hAnsi="Book Antiqua" w:cs="Times New Roman"/>
          <w:b/>
          <w:sz w:val="36"/>
          <w:szCs w:val="36"/>
        </w:rPr>
        <w:t xml:space="preserve">  </w:t>
      </w:r>
      <w:r w:rsidR="00717A94" w:rsidRPr="004D0B26">
        <w:rPr>
          <w:rFonts w:ascii="Book Antiqua" w:eastAsia="Times New Roman" w:hAnsi="Book Antiqua" w:cs="Times New Roman"/>
          <w:b/>
          <w:sz w:val="36"/>
          <w:szCs w:val="36"/>
        </w:rPr>
        <w:t>A Case Study</w:t>
      </w:r>
      <w:r w:rsidR="00880466">
        <w:rPr>
          <w:rFonts w:ascii="Book Antiqua" w:eastAsia="Times New Roman" w:hAnsi="Book Antiqua" w:cs="Times New Roman"/>
          <w:b/>
          <w:sz w:val="36"/>
          <w:szCs w:val="36"/>
        </w:rPr>
        <w:t xml:space="preserve"> of </w:t>
      </w:r>
      <w:r w:rsidR="000D0A09">
        <w:rPr>
          <w:rFonts w:ascii="Book Antiqua" w:eastAsia="Times New Roman" w:hAnsi="Book Antiqua" w:cs="Times New Roman"/>
          <w:b/>
          <w:sz w:val="36"/>
          <w:szCs w:val="36"/>
        </w:rPr>
        <w:t>Litigation Abuse</w:t>
      </w:r>
    </w:p>
    <w:p w:rsidR="00717A94" w:rsidRPr="001D2C3D" w:rsidRDefault="00717A94" w:rsidP="00717A94">
      <w:pPr>
        <w:jc w:val="center"/>
        <w:rPr>
          <w:rFonts w:ascii="Book Antiqua" w:eastAsia="Times New Roman" w:hAnsi="Book Antiqua" w:cs="Times New Roman"/>
          <w:b/>
          <w:sz w:val="28"/>
          <w:szCs w:val="32"/>
        </w:rPr>
      </w:pPr>
    </w:p>
    <w:p w:rsidR="000D0A09" w:rsidRDefault="000D0A09" w:rsidP="00180AF7">
      <w:pPr>
        <w:rPr>
          <w:rFonts w:ascii="Book Antiqua" w:eastAsia="Times New Roman" w:hAnsi="Book Antiqua" w:cs="Times New Roman"/>
          <w:sz w:val="28"/>
          <w:szCs w:val="32"/>
        </w:rPr>
      </w:pPr>
      <w:r>
        <w:rPr>
          <w:rFonts w:ascii="Book Antiqua" w:eastAsia="Times New Roman" w:hAnsi="Book Antiqua" w:cs="Times New Roman"/>
          <w:sz w:val="28"/>
          <w:szCs w:val="32"/>
        </w:rPr>
        <w:tab/>
        <w:t xml:space="preserve">Title III of the Americans with Disabilities Act (ADA) prohibits disability discrimination by private businesses.  Lawyers who defend noncompliant businesses argue that </w:t>
      </w:r>
      <w:r w:rsidR="00CB383B">
        <w:rPr>
          <w:rFonts w:ascii="Book Antiqua" w:eastAsia="Times New Roman" w:hAnsi="Book Antiqua" w:cs="Times New Roman"/>
          <w:sz w:val="28"/>
          <w:szCs w:val="32"/>
        </w:rPr>
        <w:t xml:space="preserve">their opposing counsel -- </w:t>
      </w:r>
      <w:r>
        <w:rPr>
          <w:rFonts w:ascii="Book Antiqua" w:eastAsia="Times New Roman" w:hAnsi="Book Antiqua" w:cs="Times New Roman"/>
          <w:sz w:val="28"/>
          <w:szCs w:val="32"/>
        </w:rPr>
        <w:t xml:space="preserve">lawyers who represent people with disabilities </w:t>
      </w:r>
      <w:r w:rsidR="00077F44">
        <w:rPr>
          <w:rFonts w:ascii="Book Antiqua" w:eastAsia="Times New Roman" w:hAnsi="Book Antiqua" w:cs="Times New Roman"/>
          <w:sz w:val="28"/>
          <w:szCs w:val="32"/>
        </w:rPr>
        <w:t>seeking to enforce their rights</w:t>
      </w:r>
      <w:r w:rsidR="00CB383B">
        <w:rPr>
          <w:rFonts w:ascii="Book Antiqua" w:eastAsia="Times New Roman" w:hAnsi="Book Antiqua" w:cs="Times New Roman"/>
          <w:sz w:val="28"/>
          <w:szCs w:val="32"/>
        </w:rPr>
        <w:t xml:space="preserve"> --</w:t>
      </w:r>
      <w:r w:rsidR="00077F44">
        <w:rPr>
          <w:rFonts w:ascii="Book Antiqua" w:eastAsia="Times New Roman" w:hAnsi="Book Antiqua" w:cs="Times New Roman"/>
          <w:sz w:val="28"/>
          <w:szCs w:val="32"/>
        </w:rPr>
        <w:t xml:space="preserve"> </w:t>
      </w:r>
      <w:r>
        <w:rPr>
          <w:rFonts w:ascii="Book Antiqua" w:eastAsia="Times New Roman" w:hAnsi="Book Antiqua" w:cs="Times New Roman"/>
          <w:sz w:val="28"/>
          <w:szCs w:val="32"/>
        </w:rPr>
        <w:t>engage in litigation abuse</w:t>
      </w:r>
      <w:r w:rsidR="0051721F">
        <w:rPr>
          <w:rFonts w:ascii="Book Antiqua" w:eastAsia="Times New Roman" w:hAnsi="Book Antiqua" w:cs="Times New Roman"/>
          <w:sz w:val="28"/>
          <w:szCs w:val="32"/>
        </w:rPr>
        <w:t xml:space="preserve">.  They are </w:t>
      </w:r>
      <w:r w:rsidR="00F8777F">
        <w:rPr>
          <w:rFonts w:ascii="Book Antiqua" w:eastAsia="Times New Roman" w:hAnsi="Book Antiqua" w:cs="Times New Roman"/>
          <w:sz w:val="28"/>
          <w:szCs w:val="32"/>
        </w:rPr>
        <w:t>lobbying</w:t>
      </w:r>
      <w:r w:rsidR="0051721F">
        <w:rPr>
          <w:rFonts w:ascii="Book Antiqua" w:eastAsia="Times New Roman" w:hAnsi="Book Antiqua" w:cs="Times New Roman"/>
          <w:sz w:val="28"/>
          <w:szCs w:val="32"/>
        </w:rPr>
        <w:t xml:space="preserve"> for passage of H.R. 620, a bill that would add the requirement of a specifically-worded demand letter and </w:t>
      </w:r>
      <w:r w:rsidR="002E0E11">
        <w:rPr>
          <w:rFonts w:ascii="Book Antiqua" w:eastAsia="Times New Roman" w:hAnsi="Book Antiqua" w:cs="Times New Roman"/>
          <w:sz w:val="28"/>
          <w:szCs w:val="32"/>
        </w:rPr>
        <w:t xml:space="preserve">four-month </w:t>
      </w:r>
      <w:r w:rsidR="0051721F">
        <w:rPr>
          <w:rFonts w:ascii="Book Antiqua" w:eastAsia="Times New Roman" w:hAnsi="Book Antiqua" w:cs="Times New Roman"/>
          <w:sz w:val="28"/>
          <w:szCs w:val="32"/>
        </w:rPr>
        <w:t xml:space="preserve">waiting period </w:t>
      </w:r>
      <w:r w:rsidR="003A1117">
        <w:rPr>
          <w:rFonts w:ascii="Book Antiqua" w:eastAsia="Times New Roman" w:hAnsi="Book Antiqua" w:cs="Times New Roman"/>
          <w:sz w:val="28"/>
          <w:szCs w:val="32"/>
        </w:rPr>
        <w:t xml:space="preserve">before a disabled person could enforce their rights.  </w:t>
      </w:r>
    </w:p>
    <w:p w:rsidR="00077F44" w:rsidRDefault="00077F44" w:rsidP="00180AF7">
      <w:pPr>
        <w:rPr>
          <w:rFonts w:ascii="Book Antiqua" w:eastAsia="Times New Roman" w:hAnsi="Book Antiqua" w:cs="Times New Roman"/>
          <w:sz w:val="28"/>
          <w:szCs w:val="32"/>
        </w:rPr>
      </w:pPr>
    </w:p>
    <w:p w:rsidR="00077F44" w:rsidRDefault="00077F44" w:rsidP="00180AF7">
      <w:pPr>
        <w:rPr>
          <w:rFonts w:ascii="Book Antiqua" w:eastAsia="Times New Roman" w:hAnsi="Book Antiqua" w:cs="Times New Roman"/>
          <w:sz w:val="28"/>
          <w:szCs w:val="32"/>
        </w:rPr>
      </w:pPr>
      <w:r>
        <w:rPr>
          <w:rFonts w:ascii="Book Antiqua" w:eastAsia="Times New Roman" w:hAnsi="Book Antiqua" w:cs="Times New Roman"/>
          <w:sz w:val="28"/>
          <w:szCs w:val="32"/>
        </w:rPr>
        <w:tab/>
        <w:t xml:space="preserve">This case study of </w:t>
      </w:r>
      <w:r w:rsidR="00EB3451">
        <w:rPr>
          <w:rFonts w:ascii="Book Antiqua" w:eastAsia="Times New Roman" w:hAnsi="Book Antiqua" w:cs="Times New Roman"/>
          <w:sz w:val="28"/>
          <w:szCs w:val="32"/>
        </w:rPr>
        <w:t xml:space="preserve">ADA defense </w:t>
      </w:r>
      <w:r>
        <w:rPr>
          <w:rFonts w:ascii="Book Antiqua" w:eastAsia="Times New Roman" w:hAnsi="Book Antiqua" w:cs="Times New Roman"/>
          <w:sz w:val="28"/>
          <w:szCs w:val="32"/>
        </w:rPr>
        <w:t xml:space="preserve">litigation </w:t>
      </w:r>
      <w:r w:rsidR="00EB3451">
        <w:rPr>
          <w:rFonts w:ascii="Book Antiqua" w:eastAsia="Times New Roman" w:hAnsi="Book Antiqua" w:cs="Times New Roman"/>
          <w:sz w:val="28"/>
          <w:szCs w:val="32"/>
        </w:rPr>
        <w:t xml:space="preserve">abuse </w:t>
      </w:r>
      <w:r w:rsidR="00587AF0">
        <w:rPr>
          <w:rFonts w:ascii="Book Antiqua" w:eastAsia="Times New Roman" w:hAnsi="Book Antiqua" w:cs="Times New Roman"/>
          <w:sz w:val="28"/>
          <w:szCs w:val="32"/>
        </w:rPr>
        <w:t xml:space="preserve">suggests that ADA defense counsel are </w:t>
      </w:r>
      <w:r w:rsidR="003A1117">
        <w:rPr>
          <w:rFonts w:ascii="Book Antiqua" w:eastAsia="Times New Roman" w:hAnsi="Book Antiqua" w:cs="Times New Roman"/>
          <w:sz w:val="28"/>
          <w:szCs w:val="32"/>
        </w:rPr>
        <w:t xml:space="preserve">already </w:t>
      </w:r>
      <w:r w:rsidR="00587AF0">
        <w:rPr>
          <w:rFonts w:ascii="Book Antiqua" w:eastAsia="Times New Roman" w:hAnsi="Book Antiqua" w:cs="Times New Roman"/>
          <w:sz w:val="28"/>
          <w:szCs w:val="32"/>
        </w:rPr>
        <w:t xml:space="preserve">guilty of </w:t>
      </w:r>
      <w:r w:rsidR="00587AF0" w:rsidRPr="00587AF0">
        <w:rPr>
          <w:rFonts w:ascii="Book Antiqua" w:eastAsia="Times New Roman" w:hAnsi="Book Antiqua" w:cs="Times New Roman"/>
          <w:sz w:val="28"/>
          <w:szCs w:val="32"/>
        </w:rPr>
        <w:t>prolong</w:t>
      </w:r>
      <w:r w:rsidR="00587AF0">
        <w:rPr>
          <w:rFonts w:ascii="Book Antiqua" w:eastAsia="Times New Roman" w:hAnsi="Book Antiqua" w:cs="Times New Roman"/>
          <w:sz w:val="28"/>
          <w:szCs w:val="32"/>
        </w:rPr>
        <w:t>ing litigation, postponing</w:t>
      </w:r>
      <w:r w:rsidR="00587AF0" w:rsidRPr="00587AF0">
        <w:rPr>
          <w:rFonts w:ascii="Book Antiqua" w:eastAsia="Times New Roman" w:hAnsi="Book Antiqua" w:cs="Times New Roman"/>
          <w:sz w:val="28"/>
          <w:szCs w:val="32"/>
        </w:rPr>
        <w:t xml:space="preserve"> access, and </w:t>
      </w:r>
      <w:r w:rsidR="00587AF0">
        <w:rPr>
          <w:rFonts w:ascii="Book Antiqua" w:eastAsia="Times New Roman" w:hAnsi="Book Antiqua" w:cs="Times New Roman"/>
          <w:sz w:val="28"/>
          <w:szCs w:val="32"/>
        </w:rPr>
        <w:t xml:space="preserve">ultimately </w:t>
      </w:r>
      <w:r w:rsidR="00587AF0" w:rsidRPr="00587AF0">
        <w:rPr>
          <w:rFonts w:ascii="Book Antiqua" w:eastAsia="Times New Roman" w:hAnsi="Book Antiqua" w:cs="Times New Roman"/>
          <w:sz w:val="28"/>
          <w:szCs w:val="32"/>
        </w:rPr>
        <w:t>enrich</w:t>
      </w:r>
      <w:r w:rsidR="00587AF0">
        <w:rPr>
          <w:rFonts w:ascii="Book Antiqua" w:eastAsia="Times New Roman" w:hAnsi="Book Antiqua" w:cs="Times New Roman"/>
          <w:sz w:val="28"/>
          <w:szCs w:val="32"/>
        </w:rPr>
        <w:t>ing</w:t>
      </w:r>
      <w:r w:rsidR="00587AF0" w:rsidRPr="00587AF0">
        <w:rPr>
          <w:rFonts w:ascii="Book Antiqua" w:eastAsia="Times New Roman" w:hAnsi="Book Antiqua" w:cs="Times New Roman"/>
          <w:sz w:val="28"/>
          <w:szCs w:val="32"/>
        </w:rPr>
        <w:t xml:space="preserve"> themselves at the expense of </w:t>
      </w:r>
      <w:r w:rsidR="000207C4">
        <w:rPr>
          <w:rFonts w:ascii="Book Antiqua" w:eastAsia="Times New Roman" w:hAnsi="Book Antiqua" w:cs="Times New Roman"/>
          <w:sz w:val="28"/>
          <w:szCs w:val="32"/>
        </w:rPr>
        <w:t xml:space="preserve">both the </w:t>
      </w:r>
      <w:r w:rsidR="00587AF0" w:rsidRPr="00587AF0">
        <w:rPr>
          <w:rFonts w:ascii="Book Antiqua" w:eastAsia="Times New Roman" w:hAnsi="Book Antiqua" w:cs="Times New Roman"/>
          <w:sz w:val="28"/>
          <w:szCs w:val="32"/>
        </w:rPr>
        <w:t xml:space="preserve">businesses </w:t>
      </w:r>
      <w:r w:rsidR="000207C4">
        <w:rPr>
          <w:rFonts w:ascii="Book Antiqua" w:eastAsia="Times New Roman" w:hAnsi="Book Antiqua" w:cs="Times New Roman"/>
          <w:sz w:val="28"/>
          <w:szCs w:val="32"/>
        </w:rPr>
        <w:t xml:space="preserve">they represent </w:t>
      </w:r>
      <w:r w:rsidR="00587AF0" w:rsidRPr="00587AF0">
        <w:rPr>
          <w:rFonts w:ascii="Book Antiqua" w:eastAsia="Times New Roman" w:hAnsi="Book Antiqua" w:cs="Times New Roman"/>
          <w:sz w:val="28"/>
          <w:szCs w:val="32"/>
        </w:rPr>
        <w:t xml:space="preserve">and </w:t>
      </w:r>
      <w:r w:rsidR="000207C4">
        <w:rPr>
          <w:rFonts w:ascii="Book Antiqua" w:eastAsia="Times New Roman" w:hAnsi="Book Antiqua" w:cs="Times New Roman"/>
          <w:sz w:val="28"/>
          <w:szCs w:val="32"/>
        </w:rPr>
        <w:t xml:space="preserve">the </w:t>
      </w:r>
      <w:r w:rsidR="00587AF0" w:rsidRPr="00587AF0">
        <w:rPr>
          <w:rFonts w:ascii="Book Antiqua" w:eastAsia="Times New Roman" w:hAnsi="Book Antiqua" w:cs="Times New Roman"/>
          <w:sz w:val="28"/>
          <w:szCs w:val="32"/>
        </w:rPr>
        <w:t>people with disabilities</w:t>
      </w:r>
      <w:r w:rsidR="000207C4">
        <w:rPr>
          <w:rFonts w:ascii="Book Antiqua" w:eastAsia="Times New Roman" w:hAnsi="Book Antiqua" w:cs="Times New Roman"/>
          <w:sz w:val="28"/>
          <w:szCs w:val="32"/>
        </w:rPr>
        <w:t xml:space="preserve"> who continue to be denied access 28 years after the ADA was passed.  </w:t>
      </w:r>
    </w:p>
    <w:p w:rsidR="003A1117" w:rsidRDefault="003A1117" w:rsidP="00180AF7">
      <w:pPr>
        <w:rPr>
          <w:rFonts w:ascii="Book Antiqua" w:eastAsia="Times New Roman" w:hAnsi="Book Antiqua" w:cs="Times New Roman"/>
          <w:sz w:val="28"/>
          <w:szCs w:val="32"/>
        </w:rPr>
      </w:pPr>
    </w:p>
    <w:p w:rsidR="00557E81" w:rsidRDefault="003A1117" w:rsidP="00180AF7">
      <w:pPr>
        <w:rPr>
          <w:rFonts w:ascii="Book Antiqua" w:eastAsia="Times New Roman" w:hAnsi="Book Antiqua" w:cs="Times New Roman"/>
          <w:sz w:val="28"/>
          <w:szCs w:val="32"/>
        </w:rPr>
      </w:pPr>
      <w:r>
        <w:rPr>
          <w:rFonts w:ascii="Book Antiqua" w:eastAsia="Times New Roman" w:hAnsi="Book Antiqua" w:cs="Times New Roman"/>
          <w:sz w:val="28"/>
          <w:szCs w:val="32"/>
        </w:rPr>
        <w:tab/>
      </w:r>
      <w:r w:rsidR="0038321A">
        <w:rPr>
          <w:rFonts w:ascii="Book Antiqua" w:eastAsia="Times New Roman" w:hAnsi="Book Antiqua" w:cs="Times New Roman"/>
          <w:sz w:val="28"/>
          <w:szCs w:val="32"/>
        </w:rPr>
        <w:t>H.R. 620’s</w:t>
      </w:r>
      <w:r>
        <w:rPr>
          <w:rFonts w:ascii="Book Antiqua" w:eastAsia="Times New Roman" w:hAnsi="Book Antiqua" w:cs="Times New Roman"/>
          <w:sz w:val="28"/>
          <w:szCs w:val="32"/>
        </w:rPr>
        <w:t xml:space="preserve"> requirement of a demand letter will remove any incentive for voluntary compliance and will add a new round of motions for ADA defense attorneys to file </w:t>
      </w:r>
      <w:r w:rsidR="00530217">
        <w:rPr>
          <w:rFonts w:ascii="Book Antiqua" w:eastAsia="Times New Roman" w:hAnsi="Book Antiqua" w:cs="Times New Roman"/>
          <w:sz w:val="28"/>
          <w:szCs w:val="32"/>
        </w:rPr>
        <w:t xml:space="preserve">-- challenging the </w:t>
      </w:r>
      <w:r w:rsidR="00BF2C46">
        <w:rPr>
          <w:rFonts w:ascii="Book Antiqua" w:eastAsia="Times New Roman" w:hAnsi="Book Antiqua" w:cs="Times New Roman"/>
          <w:sz w:val="28"/>
          <w:szCs w:val="32"/>
        </w:rPr>
        <w:t xml:space="preserve">wording, </w:t>
      </w:r>
      <w:r w:rsidR="00530217">
        <w:rPr>
          <w:rFonts w:ascii="Book Antiqua" w:eastAsia="Times New Roman" w:hAnsi="Book Antiqua" w:cs="Times New Roman"/>
          <w:sz w:val="28"/>
          <w:szCs w:val="32"/>
        </w:rPr>
        <w:t>content</w:t>
      </w:r>
      <w:r w:rsidR="00BF2C46">
        <w:rPr>
          <w:rFonts w:ascii="Book Antiqua" w:eastAsia="Times New Roman" w:hAnsi="Book Antiqua" w:cs="Times New Roman"/>
          <w:sz w:val="28"/>
          <w:szCs w:val="32"/>
        </w:rPr>
        <w:t>, and specificity</w:t>
      </w:r>
      <w:r w:rsidR="00530217">
        <w:rPr>
          <w:rFonts w:ascii="Book Antiqua" w:eastAsia="Times New Roman" w:hAnsi="Book Antiqua" w:cs="Times New Roman"/>
          <w:sz w:val="28"/>
          <w:szCs w:val="32"/>
        </w:rPr>
        <w:t xml:space="preserve"> of the demand letter -- on top of the already unconscionable litigation delay that is their standard practice.  </w:t>
      </w:r>
      <w:r w:rsidR="00557E81">
        <w:rPr>
          <w:rFonts w:ascii="Book Antiqua" w:eastAsia="Times New Roman" w:hAnsi="Book Antiqua" w:cs="Times New Roman"/>
          <w:sz w:val="28"/>
          <w:szCs w:val="32"/>
        </w:rPr>
        <w:tab/>
      </w:r>
    </w:p>
    <w:p w:rsidR="00587AF0" w:rsidRDefault="00587AF0" w:rsidP="00180AF7">
      <w:pPr>
        <w:rPr>
          <w:rFonts w:ascii="Book Antiqua" w:eastAsia="Times New Roman" w:hAnsi="Book Antiqua" w:cs="Times New Roman"/>
          <w:sz w:val="28"/>
          <w:szCs w:val="32"/>
        </w:rPr>
      </w:pPr>
    </w:p>
    <w:p w:rsidR="001319A9" w:rsidRDefault="0092367B" w:rsidP="00180AF7">
      <w:pPr>
        <w:rPr>
          <w:rFonts w:ascii="Book Antiqua" w:eastAsia="Times New Roman" w:hAnsi="Book Antiqua" w:cs="Times New Roman"/>
          <w:sz w:val="28"/>
          <w:szCs w:val="32"/>
        </w:rPr>
      </w:pPr>
      <w:r w:rsidRPr="001D2C3D">
        <w:rPr>
          <w:rFonts w:ascii="Book Antiqua" w:eastAsia="Times New Roman" w:hAnsi="Book Antiqua" w:cs="Times New Roman"/>
          <w:sz w:val="28"/>
          <w:szCs w:val="32"/>
        </w:rPr>
        <w:tab/>
      </w:r>
      <w:r w:rsidR="00530217">
        <w:rPr>
          <w:rFonts w:ascii="Book Antiqua" w:eastAsia="Times New Roman" w:hAnsi="Book Antiqua" w:cs="Times New Roman"/>
          <w:sz w:val="28"/>
          <w:szCs w:val="32"/>
        </w:rPr>
        <w:t xml:space="preserve">To demonstrate the opportunities for delay </w:t>
      </w:r>
      <w:r w:rsidR="001B4775">
        <w:rPr>
          <w:rFonts w:ascii="Book Antiqua" w:eastAsia="Times New Roman" w:hAnsi="Book Antiqua" w:cs="Times New Roman"/>
          <w:sz w:val="28"/>
          <w:szCs w:val="32"/>
        </w:rPr>
        <w:t xml:space="preserve">in which ADA defense counsel typically engage, we looked at a case that </w:t>
      </w:r>
      <w:r w:rsidR="0038321A">
        <w:rPr>
          <w:rFonts w:ascii="Book Antiqua" w:eastAsia="Times New Roman" w:hAnsi="Book Antiqua" w:cs="Times New Roman"/>
          <w:sz w:val="28"/>
          <w:szCs w:val="32"/>
        </w:rPr>
        <w:t>a group of retail trade</w:t>
      </w:r>
      <w:r w:rsidR="001B4775">
        <w:rPr>
          <w:rFonts w:ascii="Book Antiqua" w:eastAsia="Times New Roman" w:hAnsi="Book Antiqua" w:cs="Times New Roman"/>
          <w:sz w:val="28"/>
          <w:szCs w:val="32"/>
        </w:rPr>
        <w:t xml:space="preserve"> associations </w:t>
      </w:r>
      <w:r w:rsidR="00F8777F">
        <w:rPr>
          <w:rFonts w:ascii="Book Antiqua" w:eastAsia="Times New Roman" w:hAnsi="Book Antiqua" w:cs="Times New Roman"/>
          <w:sz w:val="28"/>
          <w:szCs w:val="32"/>
        </w:rPr>
        <w:t>held up</w:t>
      </w:r>
      <w:r w:rsidR="001B4775">
        <w:rPr>
          <w:rFonts w:ascii="Book Antiqua" w:eastAsia="Times New Roman" w:hAnsi="Book Antiqua" w:cs="Times New Roman"/>
          <w:sz w:val="28"/>
          <w:szCs w:val="32"/>
        </w:rPr>
        <w:t xml:space="preserve"> as a typical </w:t>
      </w:r>
      <w:r w:rsidR="0038321A">
        <w:rPr>
          <w:rFonts w:ascii="Book Antiqua" w:eastAsia="Times New Roman" w:hAnsi="Book Antiqua" w:cs="Times New Roman"/>
          <w:sz w:val="28"/>
          <w:szCs w:val="32"/>
        </w:rPr>
        <w:t>Title III</w:t>
      </w:r>
      <w:r w:rsidR="001B4775">
        <w:rPr>
          <w:rFonts w:ascii="Book Antiqua" w:eastAsia="Times New Roman" w:hAnsi="Book Antiqua" w:cs="Times New Roman"/>
          <w:sz w:val="28"/>
          <w:szCs w:val="32"/>
        </w:rPr>
        <w:t xml:space="preserve"> case.  </w:t>
      </w:r>
      <w:r w:rsidRPr="001D2C3D">
        <w:rPr>
          <w:rFonts w:ascii="Book Antiqua" w:eastAsia="Times New Roman" w:hAnsi="Book Antiqua" w:cs="Times New Roman"/>
          <w:sz w:val="28"/>
          <w:szCs w:val="32"/>
        </w:rPr>
        <w:t xml:space="preserve">In a recent </w:t>
      </w:r>
      <w:r w:rsidRPr="001D2C3D">
        <w:rPr>
          <w:rFonts w:ascii="Book Antiqua" w:eastAsia="Times New Roman" w:hAnsi="Book Antiqua" w:cs="Times New Roman"/>
          <w:i/>
          <w:sz w:val="28"/>
          <w:szCs w:val="32"/>
        </w:rPr>
        <w:t>amicus</w:t>
      </w:r>
      <w:r w:rsidRPr="001D2C3D">
        <w:rPr>
          <w:rFonts w:ascii="Book Antiqua" w:eastAsia="Times New Roman" w:hAnsi="Book Antiqua" w:cs="Times New Roman"/>
          <w:sz w:val="28"/>
          <w:szCs w:val="32"/>
        </w:rPr>
        <w:t xml:space="preserve"> brief to the Third Circuit, </w:t>
      </w:r>
      <w:r w:rsidR="004D0B26">
        <w:rPr>
          <w:rFonts w:ascii="Book Antiqua" w:eastAsia="Times New Roman" w:hAnsi="Book Antiqua" w:cs="Times New Roman"/>
          <w:sz w:val="28"/>
          <w:szCs w:val="32"/>
        </w:rPr>
        <w:t xml:space="preserve">lawyers for </w:t>
      </w:r>
      <w:r w:rsidRPr="001D2C3D">
        <w:rPr>
          <w:rFonts w:ascii="Book Antiqua" w:eastAsia="Times New Roman" w:hAnsi="Book Antiqua" w:cs="Times New Roman"/>
          <w:sz w:val="28"/>
          <w:szCs w:val="32"/>
        </w:rPr>
        <w:t xml:space="preserve">the </w:t>
      </w:r>
      <w:r w:rsidRPr="004D0B26">
        <w:rPr>
          <w:rFonts w:ascii="Book Antiqua" w:eastAsia="Times New Roman" w:hAnsi="Book Antiqua" w:cs="Times New Roman"/>
          <w:b/>
          <w:sz w:val="28"/>
          <w:szCs w:val="32"/>
        </w:rPr>
        <w:t>National Association of Convenience Stores</w:t>
      </w:r>
      <w:r w:rsidRPr="001D2C3D">
        <w:rPr>
          <w:rFonts w:ascii="Book Antiqua" w:eastAsia="Times New Roman" w:hAnsi="Book Antiqua" w:cs="Times New Roman"/>
          <w:sz w:val="28"/>
          <w:szCs w:val="32"/>
        </w:rPr>
        <w:t xml:space="preserve">, the </w:t>
      </w:r>
      <w:r w:rsidRPr="004D0B26">
        <w:rPr>
          <w:rFonts w:ascii="Book Antiqua" w:eastAsia="Times New Roman" w:hAnsi="Book Antiqua" w:cs="Times New Roman"/>
          <w:b/>
          <w:sz w:val="28"/>
          <w:szCs w:val="32"/>
        </w:rPr>
        <w:t>National Grocers Association</w:t>
      </w:r>
      <w:r w:rsidRPr="001D2C3D">
        <w:rPr>
          <w:rFonts w:ascii="Book Antiqua" w:eastAsia="Times New Roman" w:hAnsi="Book Antiqua" w:cs="Times New Roman"/>
          <w:sz w:val="28"/>
          <w:szCs w:val="32"/>
        </w:rPr>
        <w:t xml:space="preserve">, and the </w:t>
      </w:r>
      <w:r w:rsidRPr="004D0B26">
        <w:rPr>
          <w:rFonts w:ascii="Book Antiqua" w:eastAsia="Times New Roman" w:hAnsi="Book Antiqua" w:cs="Times New Roman"/>
          <w:b/>
          <w:sz w:val="28"/>
          <w:szCs w:val="32"/>
        </w:rPr>
        <w:t>Food Marketing Institute</w:t>
      </w:r>
      <w:r w:rsidR="00533F6F" w:rsidRPr="001D2C3D">
        <w:rPr>
          <w:rFonts w:ascii="Book Antiqua" w:eastAsia="Times New Roman" w:hAnsi="Book Antiqua" w:cs="Times New Roman"/>
          <w:sz w:val="28"/>
          <w:szCs w:val="32"/>
        </w:rPr>
        <w:t xml:space="preserve"> </w:t>
      </w:r>
      <w:r w:rsidR="00180AF7" w:rsidRPr="001D2C3D">
        <w:rPr>
          <w:rFonts w:ascii="Book Antiqua" w:eastAsia="Times New Roman" w:hAnsi="Book Antiqua" w:cs="Times New Roman"/>
          <w:sz w:val="28"/>
          <w:szCs w:val="32"/>
        </w:rPr>
        <w:t xml:space="preserve">singled out the </w:t>
      </w:r>
      <w:r w:rsidR="008162CD" w:rsidRPr="001D2C3D">
        <w:rPr>
          <w:rFonts w:ascii="Book Antiqua" w:eastAsia="Times New Roman" w:hAnsi="Book Antiqua" w:cs="Times New Roman"/>
          <w:sz w:val="28"/>
          <w:szCs w:val="32"/>
        </w:rPr>
        <w:t xml:space="preserve">case of </w:t>
      </w:r>
      <w:proofErr w:type="spellStart"/>
      <w:r w:rsidR="008162CD" w:rsidRPr="001D2C3D">
        <w:rPr>
          <w:rFonts w:ascii="Book Antiqua" w:eastAsia="Times New Roman" w:hAnsi="Book Antiqua" w:cs="Times New Roman"/>
          <w:i/>
          <w:sz w:val="28"/>
          <w:szCs w:val="32"/>
        </w:rPr>
        <w:t>Heinzl</w:t>
      </w:r>
      <w:proofErr w:type="spellEnd"/>
      <w:r w:rsidR="008162CD" w:rsidRPr="001D2C3D">
        <w:rPr>
          <w:rFonts w:ascii="Book Antiqua" w:eastAsia="Times New Roman" w:hAnsi="Book Antiqua" w:cs="Times New Roman"/>
          <w:i/>
          <w:sz w:val="28"/>
          <w:szCs w:val="32"/>
        </w:rPr>
        <w:t xml:space="preserve"> v. Cracker Barrel Old Country Store, Inc.</w:t>
      </w:r>
      <w:r w:rsidR="008162CD" w:rsidRPr="001D2C3D">
        <w:rPr>
          <w:rFonts w:ascii="Book Antiqua" w:eastAsia="Times New Roman" w:hAnsi="Book Antiqua" w:cs="Times New Roman"/>
          <w:sz w:val="28"/>
          <w:szCs w:val="32"/>
        </w:rPr>
        <w:t>, No. 14-cv-1455 (W.D. Pa. May 12, 2017)</w:t>
      </w:r>
      <w:r w:rsidR="005F000A" w:rsidRPr="001D2C3D">
        <w:rPr>
          <w:rFonts w:ascii="Book Antiqua" w:eastAsia="Times New Roman" w:hAnsi="Book Antiqua" w:cs="Times New Roman"/>
          <w:sz w:val="28"/>
          <w:szCs w:val="32"/>
        </w:rPr>
        <w:t xml:space="preserve"> for </w:t>
      </w:r>
      <w:r w:rsidR="001B4775">
        <w:rPr>
          <w:rFonts w:ascii="Book Antiqua" w:eastAsia="Times New Roman" w:hAnsi="Book Antiqua" w:cs="Times New Roman"/>
          <w:sz w:val="28"/>
          <w:szCs w:val="32"/>
        </w:rPr>
        <w:t xml:space="preserve">their anti-ADA </w:t>
      </w:r>
      <w:r w:rsidR="005F000A" w:rsidRPr="001D2C3D">
        <w:rPr>
          <w:rFonts w:ascii="Book Antiqua" w:eastAsia="Times New Roman" w:hAnsi="Book Antiqua" w:cs="Times New Roman"/>
          <w:sz w:val="28"/>
          <w:szCs w:val="32"/>
        </w:rPr>
        <w:t>invective.</w:t>
      </w:r>
      <w:r w:rsidR="001B4775">
        <w:rPr>
          <w:rFonts w:ascii="Book Antiqua" w:eastAsia="Times New Roman" w:hAnsi="Book Antiqua" w:cs="Times New Roman"/>
          <w:sz w:val="28"/>
          <w:szCs w:val="32"/>
        </w:rPr>
        <w:t xml:space="preserve">  </w:t>
      </w:r>
    </w:p>
    <w:p w:rsidR="001319A9" w:rsidRDefault="001319A9" w:rsidP="00180AF7">
      <w:pPr>
        <w:rPr>
          <w:rFonts w:ascii="Book Antiqua" w:eastAsia="Times New Roman" w:hAnsi="Book Antiqua" w:cs="Times New Roman"/>
          <w:sz w:val="28"/>
          <w:szCs w:val="32"/>
        </w:rPr>
      </w:pPr>
    </w:p>
    <w:p w:rsidR="00F8777F" w:rsidRDefault="00F8777F">
      <w:pPr>
        <w:spacing w:after="160" w:line="259" w:lineRule="auto"/>
        <w:rPr>
          <w:rFonts w:ascii="Book Antiqua" w:eastAsia="Times New Roman" w:hAnsi="Book Antiqua" w:cs="Times New Roman"/>
          <w:sz w:val="28"/>
          <w:szCs w:val="32"/>
        </w:rPr>
      </w:pPr>
      <w:r>
        <w:rPr>
          <w:rFonts w:ascii="Book Antiqua" w:eastAsia="Times New Roman" w:hAnsi="Book Antiqua" w:cs="Times New Roman"/>
          <w:sz w:val="28"/>
          <w:szCs w:val="32"/>
        </w:rPr>
        <w:br w:type="page"/>
      </w:r>
    </w:p>
    <w:p w:rsidR="001D1A50" w:rsidRPr="001D2C3D" w:rsidRDefault="001319A9" w:rsidP="00180AF7">
      <w:pPr>
        <w:rPr>
          <w:rFonts w:ascii="Book Antiqua" w:eastAsia="Times New Roman" w:hAnsi="Book Antiqua" w:cs="Times New Roman"/>
          <w:sz w:val="28"/>
          <w:szCs w:val="32"/>
        </w:rPr>
      </w:pPr>
      <w:r>
        <w:rPr>
          <w:rFonts w:ascii="Book Antiqua" w:eastAsia="Times New Roman" w:hAnsi="Book Antiqua" w:cs="Times New Roman"/>
          <w:sz w:val="28"/>
          <w:szCs w:val="32"/>
        </w:rPr>
        <w:lastRenderedPageBreak/>
        <w:tab/>
      </w:r>
      <w:r w:rsidR="008162CD" w:rsidRPr="001D2C3D">
        <w:rPr>
          <w:rFonts w:ascii="Book Antiqua" w:eastAsia="Times New Roman" w:hAnsi="Book Antiqua" w:cs="Times New Roman"/>
          <w:sz w:val="28"/>
          <w:szCs w:val="32"/>
        </w:rPr>
        <w:t>We took a cl</w:t>
      </w:r>
      <w:r w:rsidR="005F000A" w:rsidRPr="001D2C3D">
        <w:rPr>
          <w:rFonts w:ascii="Book Antiqua" w:eastAsia="Times New Roman" w:hAnsi="Book Antiqua" w:cs="Times New Roman"/>
          <w:sz w:val="28"/>
          <w:szCs w:val="32"/>
        </w:rPr>
        <w:t xml:space="preserve">oser look at the </w:t>
      </w:r>
      <w:r w:rsidR="005F000A" w:rsidRPr="001D2C3D">
        <w:rPr>
          <w:rFonts w:ascii="Book Antiqua" w:eastAsia="Times New Roman" w:hAnsi="Book Antiqua" w:cs="Times New Roman"/>
          <w:i/>
          <w:sz w:val="28"/>
          <w:szCs w:val="32"/>
        </w:rPr>
        <w:t>Cracker Barrel</w:t>
      </w:r>
      <w:r w:rsidR="005F000A" w:rsidRPr="001D2C3D">
        <w:rPr>
          <w:rFonts w:ascii="Book Antiqua" w:eastAsia="Times New Roman" w:hAnsi="Book Antiqua" w:cs="Times New Roman"/>
          <w:sz w:val="28"/>
          <w:szCs w:val="32"/>
        </w:rPr>
        <w:t xml:space="preserve"> </w:t>
      </w:r>
      <w:r w:rsidR="008162CD" w:rsidRPr="001D2C3D">
        <w:rPr>
          <w:rFonts w:ascii="Book Antiqua" w:eastAsia="Times New Roman" w:hAnsi="Book Antiqua" w:cs="Times New Roman"/>
          <w:sz w:val="28"/>
          <w:szCs w:val="32"/>
        </w:rPr>
        <w:t>case and discovered that</w:t>
      </w:r>
      <w:r w:rsidR="005F000A" w:rsidRPr="001D2C3D">
        <w:rPr>
          <w:rFonts w:ascii="Book Antiqua" w:eastAsia="Times New Roman" w:hAnsi="Book Antiqua" w:cs="Times New Roman"/>
          <w:sz w:val="28"/>
          <w:szCs w:val="32"/>
        </w:rPr>
        <w:t xml:space="preserve"> it</w:t>
      </w:r>
      <w:r w:rsidR="008162CD" w:rsidRPr="001D2C3D">
        <w:rPr>
          <w:rFonts w:ascii="Book Antiqua" w:eastAsia="Times New Roman" w:hAnsi="Book Antiqua" w:cs="Times New Roman"/>
          <w:sz w:val="28"/>
          <w:szCs w:val="32"/>
        </w:rPr>
        <w:t xml:space="preserve"> </w:t>
      </w:r>
      <w:r w:rsidR="00BF2C46">
        <w:rPr>
          <w:rFonts w:ascii="Book Antiqua" w:eastAsia="Times New Roman" w:hAnsi="Book Antiqua" w:cs="Times New Roman"/>
          <w:sz w:val="28"/>
          <w:szCs w:val="32"/>
        </w:rPr>
        <w:t xml:space="preserve">presented a fairly typical example of ADA defense lawyer abuse.  The case </w:t>
      </w:r>
      <w:r>
        <w:rPr>
          <w:rFonts w:ascii="Book Antiqua" w:eastAsia="Times New Roman" w:hAnsi="Book Antiqua" w:cs="Times New Roman"/>
          <w:sz w:val="28"/>
          <w:szCs w:val="32"/>
        </w:rPr>
        <w:t>alleged that</w:t>
      </w:r>
      <w:r w:rsidR="005C7EDF" w:rsidRPr="001D2C3D">
        <w:rPr>
          <w:rFonts w:ascii="Book Antiqua" w:eastAsia="Times New Roman" w:hAnsi="Book Antiqua" w:cs="Times New Roman"/>
          <w:sz w:val="28"/>
          <w:szCs w:val="32"/>
        </w:rPr>
        <w:t xml:space="preserve"> a chain of fast food restaurants had noncompliant parking lots.</w:t>
      </w:r>
      <w:r>
        <w:rPr>
          <w:rFonts w:ascii="Book Antiqua" w:eastAsia="Times New Roman" w:hAnsi="Book Antiqua" w:cs="Times New Roman"/>
          <w:sz w:val="28"/>
          <w:szCs w:val="32"/>
        </w:rPr>
        <w:t xml:space="preserve">  </w:t>
      </w:r>
      <w:r w:rsidR="005C7EDF" w:rsidRPr="001D2C3D">
        <w:rPr>
          <w:rFonts w:ascii="Book Antiqua" w:eastAsia="Times New Roman" w:hAnsi="Book Antiqua" w:cs="Times New Roman"/>
          <w:sz w:val="28"/>
          <w:szCs w:val="32"/>
        </w:rPr>
        <w:t xml:space="preserve">Instead of </w:t>
      </w:r>
      <w:r w:rsidR="00555C2E" w:rsidRPr="001D2C3D">
        <w:rPr>
          <w:rFonts w:ascii="Book Antiqua" w:eastAsia="Times New Roman" w:hAnsi="Book Antiqua" w:cs="Times New Roman"/>
          <w:sz w:val="28"/>
          <w:szCs w:val="32"/>
        </w:rPr>
        <w:t xml:space="preserve">assessing and </w:t>
      </w:r>
      <w:r w:rsidR="005C7EDF" w:rsidRPr="001D2C3D">
        <w:rPr>
          <w:rFonts w:ascii="Book Antiqua" w:eastAsia="Times New Roman" w:hAnsi="Book Antiqua" w:cs="Times New Roman"/>
          <w:sz w:val="28"/>
          <w:szCs w:val="32"/>
        </w:rPr>
        <w:t xml:space="preserve">remedying these violations, </w:t>
      </w:r>
      <w:r w:rsidR="0038321A">
        <w:rPr>
          <w:rFonts w:ascii="Book Antiqua" w:eastAsia="Times New Roman" w:hAnsi="Book Antiqua" w:cs="Times New Roman"/>
          <w:sz w:val="28"/>
          <w:szCs w:val="32"/>
        </w:rPr>
        <w:t xml:space="preserve">Cracker Barrel’s </w:t>
      </w:r>
      <w:r w:rsidR="005B1926" w:rsidRPr="001D2C3D">
        <w:rPr>
          <w:rFonts w:ascii="Book Antiqua" w:eastAsia="Times New Roman" w:hAnsi="Book Antiqua" w:cs="Times New Roman"/>
          <w:sz w:val="28"/>
          <w:szCs w:val="32"/>
        </w:rPr>
        <w:t xml:space="preserve">attorneys </w:t>
      </w:r>
      <w:r w:rsidR="00B26E38" w:rsidRPr="001D2C3D">
        <w:rPr>
          <w:rFonts w:ascii="Book Antiqua" w:eastAsia="Times New Roman" w:hAnsi="Book Antiqua" w:cs="Times New Roman"/>
          <w:sz w:val="28"/>
          <w:szCs w:val="32"/>
        </w:rPr>
        <w:t xml:space="preserve">-- including several known for </w:t>
      </w:r>
      <w:r w:rsidR="00134F29" w:rsidRPr="001D2C3D">
        <w:rPr>
          <w:rFonts w:ascii="Book Antiqua" w:eastAsia="Times New Roman" w:hAnsi="Book Antiqua" w:cs="Times New Roman"/>
          <w:sz w:val="28"/>
          <w:szCs w:val="32"/>
        </w:rPr>
        <w:t xml:space="preserve">their serial defense of </w:t>
      </w:r>
      <w:r w:rsidR="00B26E38" w:rsidRPr="001D2C3D">
        <w:rPr>
          <w:rFonts w:ascii="Book Antiqua" w:eastAsia="Times New Roman" w:hAnsi="Book Antiqua" w:cs="Times New Roman"/>
          <w:sz w:val="28"/>
          <w:szCs w:val="32"/>
        </w:rPr>
        <w:t xml:space="preserve">hundreds of ADA lawsuits </w:t>
      </w:r>
      <w:r w:rsidR="00437537" w:rsidRPr="001D2C3D">
        <w:rPr>
          <w:rFonts w:ascii="Book Antiqua" w:eastAsia="Times New Roman" w:hAnsi="Book Antiqua" w:cs="Times New Roman"/>
          <w:sz w:val="28"/>
          <w:szCs w:val="32"/>
        </w:rPr>
        <w:t xml:space="preserve">and </w:t>
      </w:r>
      <w:r w:rsidR="00134F29" w:rsidRPr="001D2C3D">
        <w:rPr>
          <w:rFonts w:ascii="Book Antiqua" w:eastAsia="Times New Roman" w:hAnsi="Book Antiqua" w:cs="Times New Roman"/>
          <w:sz w:val="28"/>
          <w:szCs w:val="32"/>
        </w:rPr>
        <w:t xml:space="preserve">for </w:t>
      </w:r>
      <w:r w:rsidR="00437537" w:rsidRPr="001D2C3D">
        <w:rPr>
          <w:rFonts w:ascii="Book Antiqua" w:eastAsia="Times New Roman" w:hAnsi="Book Antiqua" w:cs="Times New Roman"/>
          <w:sz w:val="28"/>
          <w:szCs w:val="32"/>
        </w:rPr>
        <w:t xml:space="preserve">proactively work against enforcement of Title III </w:t>
      </w:r>
      <w:r w:rsidR="00B26E38" w:rsidRPr="001D2C3D">
        <w:rPr>
          <w:rFonts w:ascii="Book Antiqua" w:eastAsia="Times New Roman" w:hAnsi="Book Antiqua" w:cs="Times New Roman"/>
          <w:sz w:val="28"/>
          <w:szCs w:val="32"/>
        </w:rPr>
        <w:t xml:space="preserve">-- </w:t>
      </w:r>
      <w:r w:rsidR="00B26E38" w:rsidRPr="0038321A">
        <w:rPr>
          <w:rFonts w:ascii="Book Antiqua" w:eastAsia="Times New Roman" w:hAnsi="Book Antiqua" w:cs="Times New Roman"/>
          <w:b/>
          <w:sz w:val="28"/>
          <w:szCs w:val="32"/>
        </w:rPr>
        <w:t xml:space="preserve">prolonged the litigation </w:t>
      </w:r>
      <w:r w:rsidR="00437537" w:rsidRPr="0038321A">
        <w:rPr>
          <w:rFonts w:ascii="Book Antiqua" w:eastAsia="Times New Roman" w:hAnsi="Book Antiqua" w:cs="Times New Roman"/>
          <w:b/>
          <w:sz w:val="28"/>
          <w:szCs w:val="32"/>
        </w:rPr>
        <w:t xml:space="preserve">for </w:t>
      </w:r>
      <w:r w:rsidR="00F972E4" w:rsidRPr="0038321A">
        <w:rPr>
          <w:rFonts w:ascii="Book Antiqua" w:eastAsia="Times New Roman" w:hAnsi="Book Antiqua" w:cs="Times New Roman"/>
          <w:b/>
          <w:sz w:val="28"/>
          <w:szCs w:val="32"/>
        </w:rPr>
        <w:t xml:space="preserve">two and a half </w:t>
      </w:r>
      <w:r w:rsidR="00437537" w:rsidRPr="0038321A">
        <w:rPr>
          <w:rFonts w:ascii="Book Antiqua" w:eastAsia="Times New Roman" w:hAnsi="Book Antiqua" w:cs="Times New Roman"/>
          <w:b/>
          <w:sz w:val="28"/>
          <w:szCs w:val="32"/>
        </w:rPr>
        <w:t>years</w:t>
      </w:r>
      <w:r w:rsidR="00437537" w:rsidRPr="001D2C3D">
        <w:rPr>
          <w:rFonts w:ascii="Book Antiqua" w:eastAsia="Times New Roman" w:hAnsi="Book Antiqua" w:cs="Times New Roman"/>
          <w:sz w:val="28"/>
          <w:szCs w:val="32"/>
        </w:rPr>
        <w:t xml:space="preserve"> </w:t>
      </w:r>
      <w:r w:rsidR="00B26E38" w:rsidRPr="001D2C3D">
        <w:rPr>
          <w:rFonts w:ascii="Book Antiqua" w:eastAsia="Times New Roman" w:hAnsi="Book Antiqua" w:cs="Times New Roman"/>
          <w:sz w:val="28"/>
          <w:szCs w:val="32"/>
        </w:rPr>
        <w:t>with multiple, meritless motions</w:t>
      </w:r>
      <w:r w:rsidR="0038321A">
        <w:rPr>
          <w:rFonts w:ascii="Book Antiqua" w:eastAsia="Times New Roman" w:hAnsi="Book Antiqua" w:cs="Times New Roman"/>
          <w:sz w:val="28"/>
          <w:szCs w:val="32"/>
        </w:rPr>
        <w:t xml:space="preserve"> and obstruction</w:t>
      </w:r>
      <w:r w:rsidR="00B26E38" w:rsidRPr="001D2C3D">
        <w:rPr>
          <w:rFonts w:ascii="Book Antiqua" w:eastAsia="Times New Roman" w:hAnsi="Book Antiqua" w:cs="Times New Roman"/>
          <w:sz w:val="28"/>
          <w:szCs w:val="32"/>
        </w:rPr>
        <w:t xml:space="preserve">.  </w:t>
      </w:r>
    </w:p>
    <w:p w:rsidR="00180AF7" w:rsidRPr="001D2C3D" w:rsidRDefault="00180AF7" w:rsidP="00180AF7">
      <w:pPr>
        <w:rPr>
          <w:rFonts w:ascii="Book Antiqua" w:eastAsia="Times New Roman" w:hAnsi="Book Antiqua" w:cs="Times New Roman"/>
          <w:sz w:val="28"/>
          <w:szCs w:val="32"/>
        </w:rPr>
      </w:pPr>
    </w:p>
    <w:p w:rsidR="00F972E4" w:rsidRDefault="005F7308" w:rsidP="00180AF7">
      <w:pPr>
        <w:rPr>
          <w:rFonts w:ascii="Book Antiqua" w:eastAsia="Times New Roman" w:hAnsi="Book Antiqua" w:cs="Times New Roman"/>
          <w:sz w:val="28"/>
          <w:szCs w:val="32"/>
        </w:rPr>
      </w:pPr>
      <w:r w:rsidRPr="001D2C3D">
        <w:rPr>
          <w:rFonts w:ascii="Book Antiqua" w:eastAsia="Times New Roman" w:hAnsi="Book Antiqua" w:cs="Times New Roman"/>
          <w:sz w:val="28"/>
          <w:szCs w:val="32"/>
        </w:rPr>
        <w:tab/>
        <w:t>Cracker Barrel’s</w:t>
      </w:r>
      <w:r w:rsidR="00FE2BB4">
        <w:rPr>
          <w:rFonts w:ascii="Book Antiqua" w:eastAsia="Times New Roman" w:hAnsi="Book Antiqua" w:cs="Times New Roman"/>
          <w:sz w:val="28"/>
          <w:szCs w:val="32"/>
        </w:rPr>
        <w:t xml:space="preserve"> </w:t>
      </w:r>
      <w:r w:rsidR="00FE2BB4" w:rsidRPr="001319A9">
        <w:rPr>
          <w:rFonts w:ascii="Book Antiqua" w:eastAsia="Times New Roman" w:hAnsi="Book Antiqua" w:cs="Times New Roman"/>
          <w:b/>
          <w:sz w:val="28"/>
          <w:szCs w:val="32"/>
        </w:rPr>
        <w:t>seven</w:t>
      </w:r>
      <w:r w:rsidRPr="001D2C3D">
        <w:rPr>
          <w:rFonts w:ascii="Book Antiqua" w:eastAsia="Times New Roman" w:hAnsi="Book Antiqua" w:cs="Times New Roman"/>
          <w:sz w:val="28"/>
          <w:szCs w:val="32"/>
        </w:rPr>
        <w:t xml:space="preserve"> </w:t>
      </w:r>
      <w:r w:rsidR="00B9213E">
        <w:rPr>
          <w:rFonts w:ascii="Book Antiqua" w:eastAsia="Times New Roman" w:hAnsi="Book Antiqua" w:cs="Times New Roman"/>
          <w:sz w:val="28"/>
          <w:szCs w:val="32"/>
        </w:rPr>
        <w:t>lawyers</w:t>
      </w:r>
      <w:r w:rsidR="00FE2BB4">
        <w:rPr>
          <w:rFonts w:ascii="Book Antiqua" w:eastAsia="Times New Roman" w:hAnsi="Book Antiqua" w:cs="Times New Roman"/>
          <w:sz w:val="28"/>
          <w:szCs w:val="32"/>
        </w:rPr>
        <w:t xml:space="preserve"> </w:t>
      </w:r>
      <w:r w:rsidR="003B35C0">
        <w:rPr>
          <w:rFonts w:ascii="Book Antiqua" w:eastAsia="Times New Roman" w:hAnsi="Book Antiqua" w:cs="Times New Roman"/>
          <w:sz w:val="28"/>
          <w:szCs w:val="32"/>
        </w:rPr>
        <w:t>took the following actions in litigation</w:t>
      </w:r>
      <w:r w:rsidRPr="001D2C3D">
        <w:rPr>
          <w:rFonts w:ascii="Book Antiqua" w:eastAsia="Times New Roman" w:hAnsi="Book Antiqua" w:cs="Times New Roman"/>
          <w:sz w:val="28"/>
          <w:szCs w:val="32"/>
        </w:rPr>
        <w:t xml:space="preserve">, </w:t>
      </w:r>
      <w:r w:rsidRPr="001319A9">
        <w:rPr>
          <w:rFonts w:ascii="Book Antiqua" w:eastAsia="Times New Roman" w:hAnsi="Book Antiqua" w:cs="Times New Roman"/>
          <w:b/>
          <w:sz w:val="28"/>
          <w:szCs w:val="32"/>
        </w:rPr>
        <w:t>all of which were unsuccessful</w:t>
      </w:r>
      <w:r w:rsidR="00134F29" w:rsidRPr="001D2C3D">
        <w:rPr>
          <w:rFonts w:ascii="Book Antiqua" w:eastAsia="Times New Roman" w:hAnsi="Book Antiqua" w:cs="Times New Roman"/>
          <w:b/>
          <w:sz w:val="28"/>
          <w:szCs w:val="32"/>
        </w:rPr>
        <w:t>.</w:t>
      </w:r>
      <w:r w:rsidRPr="001D2C3D">
        <w:rPr>
          <w:rFonts w:ascii="Book Antiqua" w:eastAsia="Times New Roman" w:hAnsi="Book Antiqua" w:cs="Times New Roman"/>
          <w:b/>
          <w:sz w:val="28"/>
          <w:szCs w:val="32"/>
        </w:rPr>
        <w:t xml:space="preserve"> </w:t>
      </w:r>
      <w:r w:rsidRPr="001D2C3D">
        <w:rPr>
          <w:rFonts w:ascii="Book Antiqua" w:eastAsia="Times New Roman" w:hAnsi="Book Antiqua" w:cs="Times New Roman"/>
          <w:sz w:val="28"/>
          <w:szCs w:val="32"/>
        </w:rPr>
        <w:t xml:space="preserve"> </w:t>
      </w:r>
      <w:r w:rsidR="005976AE" w:rsidRPr="001D2C3D">
        <w:rPr>
          <w:rFonts w:ascii="Book Antiqua" w:eastAsia="Times New Roman" w:hAnsi="Book Antiqua" w:cs="Times New Roman"/>
          <w:sz w:val="28"/>
          <w:szCs w:val="32"/>
        </w:rPr>
        <w:t xml:space="preserve">These lawyers’ abuse of the system is perhaps best illustrated by the fact that </w:t>
      </w:r>
      <w:r w:rsidR="00B9213E">
        <w:rPr>
          <w:rFonts w:ascii="Book Antiqua" w:eastAsia="Times New Roman" w:hAnsi="Book Antiqua" w:cs="Times New Roman"/>
          <w:sz w:val="28"/>
          <w:szCs w:val="32"/>
        </w:rPr>
        <w:t>Cracker Barrel</w:t>
      </w:r>
      <w:r w:rsidR="005976AE" w:rsidRPr="001D2C3D">
        <w:rPr>
          <w:rFonts w:ascii="Book Antiqua" w:eastAsia="Times New Roman" w:hAnsi="Book Antiqua" w:cs="Times New Roman"/>
          <w:sz w:val="28"/>
          <w:szCs w:val="32"/>
        </w:rPr>
        <w:t xml:space="preserve"> </w:t>
      </w:r>
      <w:r w:rsidR="005976AE" w:rsidRPr="003B35C0">
        <w:rPr>
          <w:rFonts w:ascii="Book Antiqua" w:eastAsia="Times New Roman" w:hAnsi="Book Antiqua" w:cs="Times New Roman"/>
          <w:b/>
          <w:sz w:val="28"/>
          <w:szCs w:val="32"/>
        </w:rPr>
        <w:t xml:space="preserve">admitted, </w:t>
      </w:r>
      <w:r w:rsidR="00134F29" w:rsidRPr="003B35C0">
        <w:rPr>
          <w:rFonts w:ascii="Book Antiqua" w:eastAsia="Times New Roman" w:hAnsi="Book Antiqua" w:cs="Times New Roman"/>
          <w:b/>
          <w:sz w:val="28"/>
          <w:szCs w:val="32"/>
        </w:rPr>
        <w:t xml:space="preserve">14 months into the </w:t>
      </w:r>
      <w:r w:rsidR="001319A9" w:rsidRPr="003B35C0">
        <w:rPr>
          <w:rFonts w:ascii="Book Antiqua" w:eastAsia="Times New Roman" w:hAnsi="Book Antiqua" w:cs="Times New Roman"/>
          <w:b/>
          <w:sz w:val="28"/>
          <w:szCs w:val="32"/>
        </w:rPr>
        <w:t>case</w:t>
      </w:r>
      <w:r w:rsidR="00134F29" w:rsidRPr="003B35C0">
        <w:rPr>
          <w:rFonts w:ascii="Book Antiqua" w:eastAsia="Times New Roman" w:hAnsi="Book Antiqua" w:cs="Times New Roman"/>
          <w:b/>
          <w:sz w:val="28"/>
          <w:szCs w:val="32"/>
        </w:rPr>
        <w:t>, that “the subject properties contained barriers to access that were in need of remediation,”</w:t>
      </w:r>
      <w:r w:rsidR="001319A9" w:rsidRPr="003B35C0">
        <w:rPr>
          <w:rStyle w:val="FootnoteReference"/>
          <w:rFonts w:ascii="Book Antiqua" w:eastAsia="Times New Roman" w:hAnsi="Book Antiqua" w:cs="Times New Roman"/>
          <w:b/>
          <w:sz w:val="28"/>
          <w:szCs w:val="32"/>
        </w:rPr>
        <w:footnoteReference w:id="1"/>
      </w:r>
      <w:r w:rsidR="00134F29" w:rsidRPr="003B35C0">
        <w:rPr>
          <w:rFonts w:ascii="Book Antiqua" w:eastAsia="Times New Roman" w:hAnsi="Book Antiqua" w:cs="Times New Roman"/>
          <w:b/>
          <w:sz w:val="28"/>
          <w:szCs w:val="32"/>
        </w:rPr>
        <w:t xml:space="preserve"> yet continued to litigate</w:t>
      </w:r>
      <w:r w:rsidR="00134F29" w:rsidRPr="005C7899">
        <w:rPr>
          <w:rFonts w:ascii="Book Antiqua" w:eastAsia="Times New Roman" w:hAnsi="Book Antiqua" w:cs="Times New Roman"/>
          <w:b/>
          <w:sz w:val="28"/>
          <w:szCs w:val="32"/>
        </w:rPr>
        <w:t xml:space="preserve"> for another year</w:t>
      </w:r>
      <w:r w:rsidR="00134F29" w:rsidRPr="001D2C3D">
        <w:rPr>
          <w:rFonts w:ascii="Book Antiqua" w:eastAsia="Times New Roman" w:hAnsi="Book Antiqua" w:cs="Times New Roman"/>
          <w:sz w:val="28"/>
          <w:szCs w:val="32"/>
        </w:rPr>
        <w:t>.</w:t>
      </w:r>
    </w:p>
    <w:p w:rsidR="004D0B26" w:rsidRPr="001D2C3D" w:rsidRDefault="004D0B26" w:rsidP="00180AF7">
      <w:pPr>
        <w:rPr>
          <w:rFonts w:ascii="Book Antiqua" w:eastAsia="Times New Roman" w:hAnsi="Book Antiqua" w:cs="Times New Roman"/>
          <w:sz w:val="28"/>
          <w:szCs w:val="32"/>
        </w:rPr>
      </w:pPr>
    </w:p>
    <w:p w:rsidR="001D1A50" w:rsidRPr="001D2C3D" w:rsidRDefault="00F25C52" w:rsidP="001D2C3D">
      <w:pPr>
        <w:spacing w:after="160" w:line="259" w:lineRule="auto"/>
        <w:rPr>
          <w:rFonts w:ascii="Book Antiqua" w:eastAsia="Times New Roman" w:hAnsi="Book Antiqua" w:cs="Times New Roman"/>
          <w:sz w:val="28"/>
          <w:szCs w:val="32"/>
        </w:rPr>
      </w:pPr>
      <w:r w:rsidRPr="001D2C3D">
        <w:rPr>
          <w:rFonts w:ascii="Book Antiqua" w:eastAsia="Times New Roman" w:hAnsi="Book Antiqua" w:cs="Times New Roman"/>
          <w:sz w:val="28"/>
          <w:szCs w:val="32"/>
        </w:rPr>
        <w:tab/>
      </w:r>
      <w:r w:rsidR="001B2F1A">
        <w:rPr>
          <w:rFonts w:ascii="Book Antiqua" w:eastAsia="Times New Roman" w:hAnsi="Book Antiqua" w:cs="Times New Roman"/>
          <w:sz w:val="28"/>
          <w:szCs w:val="32"/>
        </w:rPr>
        <w:t xml:space="preserve">During the course of the litigation, </w:t>
      </w:r>
      <w:r w:rsidRPr="001D2C3D">
        <w:rPr>
          <w:rFonts w:ascii="Book Antiqua" w:eastAsia="Times New Roman" w:hAnsi="Book Antiqua" w:cs="Times New Roman"/>
          <w:sz w:val="28"/>
          <w:szCs w:val="32"/>
        </w:rPr>
        <w:t xml:space="preserve">Cracker Barrel and </w:t>
      </w:r>
      <w:r w:rsidR="001B2F1A">
        <w:rPr>
          <w:rFonts w:ascii="Book Antiqua" w:eastAsia="Times New Roman" w:hAnsi="Book Antiqua" w:cs="Times New Roman"/>
          <w:sz w:val="28"/>
          <w:szCs w:val="32"/>
        </w:rPr>
        <w:t>its</w:t>
      </w:r>
      <w:r w:rsidRPr="001D2C3D">
        <w:rPr>
          <w:rFonts w:ascii="Book Antiqua" w:eastAsia="Times New Roman" w:hAnsi="Book Antiqua" w:cs="Times New Roman"/>
          <w:sz w:val="28"/>
          <w:szCs w:val="32"/>
        </w:rPr>
        <w:t xml:space="preserve"> attorneys:  </w:t>
      </w:r>
    </w:p>
    <w:p w:rsidR="001D1A50" w:rsidRPr="001D2C3D" w:rsidRDefault="001D1A50" w:rsidP="003478DB">
      <w:pPr>
        <w:pStyle w:val="ListParagraph"/>
        <w:numPr>
          <w:ilvl w:val="0"/>
          <w:numId w:val="16"/>
        </w:numPr>
        <w:spacing w:after="120"/>
        <w:contextualSpacing w:val="0"/>
        <w:rPr>
          <w:rFonts w:ascii="Book Antiqua" w:eastAsia="Times New Roman" w:hAnsi="Book Antiqua" w:cs="Times New Roman"/>
          <w:sz w:val="28"/>
          <w:szCs w:val="32"/>
        </w:rPr>
      </w:pPr>
      <w:r w:rsidRPr="001D2C3D">
        <w:rPr>
          <w:rFonts w:ascii="Book Antiqua" w:eastAsia="Times New Roman" w:hAnsi="Book Antiqua" w:cs="Times New Roman"/>
          <w:sz w:val="28"/>
          <w:szCs w:val="32"/>
        </w:rPr>
        <w:t>moved unsuccessfully to dismiss</w:t>
      </w:r>
      <w:r w:rsidR="003478DB">
        <w:rPr>
          <w:rFonts w:ascii="Book Antiqua" w:eastAsia="Times New Roman" w:hAnsi="Book Antiqua" w:cs="Times New Roman"/>
          <w:sz w:val="28"/>
          <w:szCs w:val="32"/>
        </w:rPr>
        <w:t xml:space="preserve"> the case</w:t>
      </w:r>
      <w:r w:rsidRPr="001D2C3D">
        <w:rPr>
          <w:rFonts w:ascii="Book Antiqua" w:eastAsia="Times New Roman" w:hAnsi="Book Antiqua" w:cs="Times New Roman"/>
          <w:sz w:val="28"/>
          <w:szCs w:val="32"/>
        </w:rPr>
        <w:t xml:space="preserve">, ECF 10, </w:t>
      </w:r>
      <w:r w:rsidR="006F2A36" w:rsidRPr="001D2C3D">
        <w:rPr>
          <w:rFonts w:ascii="Book Antiqua" w:eastAsia="Times New Roman" w:hAnsi="Book Antiqua" w:cs="Times New Roman"/>
          <w:sz w:val="28"/>
          <w:szCs w:val="32"/>
        </w:rPr>
        <w:t xml:space="preserve">14, </w:t>
      </w:r>
      <w:r w:rsidRPr="001D2C3D">
        <w:rPr>
          <w:rFonts w:ascii="Book Antiqua" w:eastAsia="Times New Roman" w:hAnsi="Book Antiqua" w:cs="Times New Roman"/>
          <w:sz w:val="28"/>
          <w:szCs w:val="32"/>
        </w:rPr>
        <w:t>15;</w:t>
      </w:r>
      <w:r w:rsidR="006F2A36" w:rsidRPr="001D2C3D">
        <w:rPr>
          <w:rStyle w:val="FootnoteReference"/>
          <w:rFonts w:ascii="Book Antiqua" w:eastAsia="Times New Roman" w:hAnsi="Book Antiqua" w:cs="Times New Roman"/>
          <w:sz w:val="28"/>
          <w:szCs w:val="32"/>
        </w:rPr>
        <w:footnoteReference w:id="2"/>
      </w:r>
      <w:r w:rsidRPr="001D2C3D">
        <w:rPr>
          <w:rFonts w:ascii="Book Antiqua" w:eastAsia="Times New Roman" w:hAnsi="Book Antiqua" w:cs="Times New Roman"/>
          <w:sz w:val="28"/>
          <w:szCs w:val="32"/>
        </w:rPr>
        <w:t xml:space="preserve"> </w:t>
      </w:r>
    </w:p>
    <w:p w:rsidR="001D1A50" w:rsidRPr="001D2C3D" w:rsidRDefault="001D1A50" w:rsidP="003478DB">
      <w:pPr>
        <w:pStyle w:val="ListParagraph"/>
        <w:numPr>
          <w:ilvl w:val="0"/>
          <w:numId w:val="16"/>
        </w:numPr>
        <w:spacing w:after="120"/>
        <w:contextualSpacing w:val="0"/>
        <w:rPr>
          <w:rFonts w:ascii="Book Antiqua" w:eastAsia="Times New Roman" w:hAnsi="Book Antiqua" w:cs="Times New Roman"/>
          <w:sz w:val="28"/>
          <w:szCs w:val="32"/>
        </w:rPr>
      </w:pPr>
      <w:r w:rsidRPr="001D2C3D">
        <w:rPr>
          <w:rFonts w:ascii="Book Antiqua" w:eastAsia="Times New Roman" w:hAnsi="Book Antiqua" w:cs="Times New Roman"/>
          <w:sz w:val="28"/>
          <w:szCs w:val="32"/>
        </w:rPr>
        <w:t>objected unsuccessfully to the magistrate’s ruling denying the</w:t>
      </w:r>
      <w:r w:rsidR="00B9213E">
        <w:rPr>
          <w:rFonts w:ascii="Book Antiqua" w:eastAsia="Times New Roman" w:hAnsi="Book Antiqua" w:cs="Times New Roman"/>
          <w:sz w:val="28"/>
          <w:szCs w:val="32"/>
        </w:rPr>
        <w:t>ir</w:t>
      </w:r>
      <w:r w:rsidRPr="001D2C3D">
        <w:rPr>
          <w:rFonts w:ascii="Book Antiqua" w:eastAsia="Times New Roman" w:hAnsi="Book Antiqua" w:cs="Times New Roman"/>
          <w:sz w:val="28"/>
          <w:szCs w:val="32"/>
        </w:rPr>
        <w:t xml:space="preserve"> motion to dismiss, ECF 16, </w:t>
      </w:r>
      <w:r w:rsidR="006F2A36" w:rsidRPr="001D2C3D">
        <w:rPr>
          <w:rFonts w:ascii="Book Antiqua" w:eastAsia="Times New Roman" w:hAnsi="Book Antiqua" w:cs="Times New Roman"/>
          <w:sz w:val="28"/>
          <w:szCs w:val="32"/>
        </w:rPr>
        <w:t xml:space="preserve">19, </w:t>
      </w:r>
      <w:r w:rsidR="00415507" w:rsidRPr="001D2C3D">
        <w:rPr>
          <w:rFonts w:ascii="Book Antiqua" w:eastAsia="Times New Roman" w:hAnsi="Book Antiqua" w:cs="Times New Roman"/>
          <w:sz w:val="28"/>
          <w:szCs w:val="32"/>
        </w:rPr>
        <w:t xml:space="preserve">23, </w:t>
      </w:r>
      <w:r w:rsidRPr="001D2C3D">
        <w:rPr>
          <w:rFonts w:ascii="Book Antiqua" w:eastAsia="Times New Roman" w:hAnsi="Book Antiqua" w:cs="Times New Roman"/>
          <w:sz w:val="28"/>
          <w:szCs w:val="32"/>
        </w:rPr>
        <w:t xml:space="preserve">35; </w:t>
      </w:r>
    </w:p>
    <w:p w:rsidR="001D1A50" w:rsidRPr="001D2C3D" w:rsidRDefault="001D1A50" w:rsidP="003478DB">
      <w:pPr>
        <w:pStyle w:val="ListParagraph"/>
        <w:numPr>
          <w:ilvl w:val="0"/>
          <w:numId w:val="16"/>
        </w:numPr>
        <w:spacing w:after="120"/>
        <w:contextualSpacing w:val="0"/>
        <w:rPr>
          <w:rFonts w:ascii="Book Antiqua" w:eastAsia="Times New Roman" w:hAnsi="Book Antiqua" w:cs="Times New Roman"/>
          <w:sz w:val="28"/>
          <w:szCs w:val="32"/>
        </w:rPr>
      </w:pPr>
      <w:r w:rsidRPr="001D2C3D">
        <w:rPr>
          <w:rFonts w:ascii="Book Antiqua" w:eastAsia="Times New Roman" w:hAnsi="Book Antiqua" w:cs="Times New Roman"/>
          <w:sz w:val="28"/>
          <w:szCs w:val="32"/>
        </w:rPr>
        <w:t xml:space="preserve">moved unsuccessfully for a protective order to </w:t>
      </w:r>
      <w:r w:rsidRPr="001D2C3D">
        <w:rPr>
          <w:rFonts w:ascii="Book Antiqua" w:eastAsia="Times New Roman" w:hAnsi="Book Antiqua" w:cs="Times New Roman"/>
          <w:b/>
          <w:sz w:val="28"/>
          <w:szCs w:val="32"/>
        </w:rPr>
        <w:t>prevent site visits by the plaintiff</w:t>
      </w:r>
      <w:r w:rsidRPr="001D2C3D">
        <w:rPr>
          <w:rFonts w:ascii="Book Antiqua" w:eastAsia="Times New Roman" w:hAnsi="Book Antiqua" w:cs="Times New Roman"/>
          <w:sz w:val="28"/>
          <w:szCs w:val="32"/>
        </w:rPr>
        <w:t xml:space="preserve">, ECF 20, </w:t>
      </w:r>
      <w:r w:rsidR="00415507" w:rsidRPr="001D2C3D">
        <w:rPr>
          <w:rFonts w:ascii="Book Antiqua" w:eastAsia="Times New Roman" w:hAnsi="Book Antiqua" w:cs="Times New Roman"/>
          <w:sz w:val="28"/>
          <w:szCs w:val="32"/>
        </w:rPr>
        <w:t xml:space="preserve">24, 26, </w:t>
      </w:r>
      <w:r w:rsidRPr="001D2C3D">
        <w:rPr>
          <w:rFonts w:ascii="Book Antiqua" w:eastAsia="Times New Roman" w:hAnsi="Book Antiqua" w:cs="Times New Roman"/>
          <w:sz w:val="28"/>
          <w:szCs w:val="32"/>
        </w:rPr>
        <w:t xml:space="preserve">36; </w:t>
      </w:r>
    </w:p>
    <w:p w:rsidR="00352120" w:rsidRPr="001D2C3D" w:rsidRDefault="001D1A50" w:rsidP="003478DB">
      <w:pPr>
        <w:pStyle w:val="ListParagraph"/>
        <w:numPr>
          <w:ilvl w:val="0"/>
          <w:numId w:val="16"/>
        </w:numPr>
        <w:spacing w:after="120"/>
        <w:contextualSpacing w:val="0"/>
        <w:rPr>
          <w:rFonts w:ascii="Book Antiqua" w:eastAsia="Times New Roman" w:hAnsi="Book Antiqua" w:cs="Times New Roman"/>
          <w:sz w:val="28"/>
          <w:szCs w:val="32"/>
        </w:rPr>
      </w:pPr>
      <w:r w:rsidRPr="001D2C3D">
        <w:rPr>
          <w:rFonts w:ascii="Book Antiqua" w:eastAsia="Times New Roman" w:hAnsi="Book Antiqua" w:cs="Times New Roman"/>
          <w:sz w:val="28"/>
          <w:szCs w:val="32"/>
        </w:rPr>
        <w:t>moved unsuccessfully for a</w:t>
      </w:r>
      <w:r w:rsidR="001B0B01" w:rsidRPr="001D2C3D">
        <w:rPr>
          <w:rFonts w:ascii="Book Antiqua" w:eastAsia="Times New Roman" w:hAnsi="Book Antiqua" w:cs="Times New Roman"/>
          <w:sz w:val="28"/>
          <w:szCs w:val="32"/>
        </w:rPr>
        <w:t xml:space="preserve"> </w:t>
      </w:r>
      <w:r w:rsidRPr="001D2C3D">
        <w:rPr>
          <w:rFonts w:ascii="Book Antiqua" w:eastAsia="Times New Roman" w:hAnsi="Book Antiqua" w:cs="Times New Roman"/>
          <w:sz w:val="28"/>
          <w:szCs w:val="32"/>
        </w:rPr>
        <w:t xml:space="preserve">protective order </w:t>
      </w:r>
      <w:r w:rsidR="00665CE9" w:rsidRPr="001D2C3D">
        <w:rPr>
          <w:rFonts w:ascii="Book Antiqua" w:eastAsia="Times New Roman" w:hAnsi="Book Antiqua" w:cs="Times New Roman"/>
          <w:sz w:val="28"/>
          <w:szCs w:val="32"/>
        </w:rPr>
        <w:t xml:space="preserve">to </w:t>
      </w:r>
      <w:r w:rsidR="00665CE9" w:rsidRPr="001D6EBC">
        <w:rPr>
          <w:rFonts w:ascii="Book Antiqua" w:eastAsia="Times New Roman" w:hAnsi="Book Antiqua" w:cs="Times New Roman"/>
          <w:b/>
          <w:sz w:val="28"/>
          <w:szCs w:val="32"/>
        </w:rPr>
        <w:t xml:space="preserve">limit the scope of </w:t>
      </w:r>
      <w:r w:rsidRPr="001D6EBC">
        <w:rPr>
          <w:rFonts w:ascii="Book Antiqua" w:eastAsia="Times New Roman" w:hAnsi="Book Antiqua" w:cs="Times New Roman"/>
          <w:b/>
          <w:sz w:val="28"/>
          <w:szCs w:val="32"/>
        </w:rPr>
        <w:t>the plaintiff’s</w:t>
      </w:r>
      <w:r w:rsidR="00665CE9" w:rsidRPr="001D6EBC">
        <w:rPr>
          <w:rFonts w:ascii="Book Antiqua" w:eastAsia="Times New Roman" w:hAnsi="Book Antiqua" w:cs="Times New Roman"/>
          <w:b/>
          <w:sz w:val="28"/>
          <w:szCs w:val="32"/>
        </w:rPr>
        <w:t xml:space="preserve"> </w:t>
      </w:r>
      <w:r w:rsidRPr="001D6EBC">
        <w:rPr>
          <w:rFonts w:ascii="Book Antiqua" w:eastAsia="Times New Roman" w:hAnsi="Book Antiqua" w:cs="Times New Roman"/>
          <w:b/>
          <w:sz w:val="28"/>
          <w:szCs w:val="32"/>
        </w:rPr>
        <w:t>deposition</w:t>
      </w:r>
      <w:r w:rsidRPr="001D2C3D">
        <w:rPr>
          <w:rFonts w:ascii="Book Antiqua" w:eastAsia="Times New Roman" w:hAnsi="Book Antiqua" w:cs="Times New Roman"/>
          <w:sz w:val="28"/>
          <w:szCs w:val="32"/>
        </w:rPr>
        <w:t xml:space="preserve"> of </w:t>
      </w:r>
      <w:r w:rsidR="003478DB">
        <w:rPr>
          <w:rFonts w:ascii="Book Antiqua" w:eastAsia="Times New Roman" w:hAnsi="Book Antiqua" w:cs="Times New Roman"/>
          <w:sz w:val="28"/>
          <w:szCs w:val="32"/>
        </w:rPr>
        <w:t>defendant’</w:t>
      </w:r>
      <w:r w:rsidR="001D6EBC">
        <w:rPr>
          <w:rFonts w:ascii="Book Antiqua" w:eastAsia="Times New Roman" w:hAnsi="Book Antiqua" w:cs="Times New Roman"/>
          <w:sz w:val="28"/>
          <w:szCs w:val="32"/>
        </w:rPr>
        <w:t>s most knowledgeable representative</w:t>
      </w:r>
      <w:r w:rsidRPr="001D2C3D">
        <w:rPr>
          <w:rFonts w:ascii="Book Antiqua" w:eastAsia="Times New Roman" w:hAnsi="Book Antiqua" w:cs="Times New Roman"/>
          <w:sz w:val="28"/>
          <w:szCs w:val="32"/>
        </w:rPr>
        <w:t xml:space="preserve">, ECF 30, 37; </w:t>
      </w:r>
    </w:p>
    <w:p w:rsidR="000A7BA4" w:rsidRPr="001D2C3D" w:rsidRDefault="00352120" w:rsidP="003478DB">
      <w:pPr>
        <w:pStyle w:val="ListParagraph"/>
        <w:numPr>
          <w:ilvl w:val="0"/>
          <w:numId w:val="16"/>
        </w:numPr>
        <w:spacing w:after="120"/>
        <w:contextualSpacing w:val="0"/>
        <w:rPr>
          <w:rFonts w:ascii="Book Antiqua" w:eastAsia="Times New Roman" w:hAnsi="Book Antiqua" w:cs="Times New Roman"/>
          <w:sz w:val="28"/>
          <w:szCs w:val="32"/>
        </w:rPr>
      </w:pPr>
      <w:r w:rsidRPr="001D2C3D">
        <w:rPr>
          <w:rFonts w:ascii="Book Antiqua" w:eastAsia="Times New Roman" w:hAnsi="Book Antiqua" w:cs="Times New Roman"/>
          <w:b/>
          <w:sz w:val="28"/>
          <w:szCs w:val="32"/>
        </w:rPr>
        <w:t>refused to engage in class-wide discovery</w:t>
      </w:r>
      <w:r w:rsidRPr="001D2C3D">
        <w:rPr>
          <w:rFonts w:ascii="Book Antiqua" w:eastAsia="Times New Roman" w:hAnsi="Book Antiqua" w:cs="Times New Roman"/>
          <w:sz w:val="28"/>
          <w:szCs w:val="32"/>
        </w:rPr>
        <w:t xml:space="preserve">, requiring </w:t>
      </w:r>
      <w:r w:rsidR="000A7BA4" w:rsidRPr="001D2C3D">
        <w:rPr>
          <w:rFonts w:ascii="Book Antiqua" w:eastAsia="Times New Roman" w:hAnsi="Book Antiqua" w:cs="Times New Roman"/>
          <w:sz w:val="28"/>
          <w:szCs w:val="32"/>
        </w:rPr>
        <w:t xml:space="preserve">plaintiffs to file </w:t>
      </w:r>
      <w:r w:rsidRPr="001D2C3D">
        <w:rPr>
          <w:rFonts w:ascii="Book Antiqua" w:eastAsia="Times New Roman" w:hAnsi="Book Antiqua" w:cs="Times New Roman"/>
          <w:sz w:val="28"/>
          <w:szCs w:val="32"/>
        </w:rPr>
        <w:t xml:space="preserve">a </w:t>
      </w:r>
      <w:r w:rsidR="001D6EBC">
        <w:rPr>
          <w:rFonts w:ascii="Book Antiqua" w:eastAsia="Times New Roman" w:hAnsi="Book Antiqua" w:cs="Times New Roman"/>
          <w:sz w:val="28"/>
          <w:szCs w:val="32"/>
        </w:rPr>
        <w:t>successful motion to compel</w:t>
      </w:r>
      <w:r w:rsidRPr="001D2C3D">
        <w:rPr>
          <w:rFonts w:ascii="Book Antiqua" w:eastAsia="Times New Roman" w:hAnsi="Book Antiqua" w:cs="Times New Roman"/>
          <w:sz w:val="28"/>
          <w:szCs w:val="32"/>
        </w:rPr>
        <w:t xml:space="preserve">, ECF 27, 29, 36; </w:t>
      </w:r>
    </w:p>
    <w:p w:rsidR="00C33419" w:rsidRPr="001D2C3D" w:rsidRDefault="00C33419" w:rsidP="003478DB">
      <w:pPr>
        <w:pStyle w:val="ListParagraph"/>
        <w:numPr>
          <w:ilvl w:val="0"/>
          <w:numId w:val="16"/>
        </w:numPr>
        <w:spacing w:after="120"/>
        <w:contextualSpacing w:val="0"/>
        <w:rPr>
          <w:rFonts w:ascii="Book Antiqua" w:eastAsia="Times New Roman" w:hAnsi="Book Antiqua" w:cs="Times New Roman"/>
          <w:sz w:val="28"/>
          <w:szCs w:val="32"/>
        </w:rPr>
      </w:pPr>
      <w:r w:rsidRPr="001D2C3D">
        <w:rPr>
          <w:rFonts w:ascii="Book Antiqua" w:eastAsia="Times New Roman" w:hAnsi="Book Antiqua" w:cs="Times New Roman"/>
          <w:sz w:val="28"/>
          <w:szCs w:val="32"/>
        </w:rPr>
        <w:t xml:space="preserve">moved unsuccessfully to </w:t>
      </w:r>
      <w:r w:rsidRPr="00EC3432">
        <w:rPr>
          <w:rFonts w:ascii="Book Antiqua" w:eastAsia="Times New Roman" w:hAnsi="Book Antiqua" w:cs="Times New Roman"/>
          <w:b/>
          <w:sz w:val="28"/>
          <w:szCs w:val="32"/>
        </w:rPr>
        <w:t>stay the litigation</w:t>
      </w:r>
      <w:r w:rsidRPr="001D2C3D">
        <w:rPr>
          <w:rFonts w:ascii="Book Antiqua" w:eastAsia="Times New Roman" w:hAnsi="Book Antiqua" w:cs="Times New Roman"/>
          <w:sz w:val="28"/>
          <w:szCs w:val="32"/>
        </w:rPr>
        <w:t xml:space="preserve">, ECF 32, 37; </w:t>
      </w:r>
    </w:p>
    <w:p w:rsidR="00F8777F" w:rsidRDefault="00F8777F">
      <w:pPr>
        <w:spacing w:after="160" w:line="259" w:lineRule="auto"/>
        <w:rPr>
          <w:rFonts w:ascii="Book Antiqua" w:eastAsia="Times New Roman" w:hAnsi="Book Antiqua" w:cs="Times New Roman"/>
          <w:sz w:val="28"/>
          <w:szCs w:val="32"/>
        </w:rPr>
      </w:pPr>
      <w:r>
        <w:rPr>
          <w:rFonts w:ascii="Book Antiqua" w:eastAsia="Times New Roman" w:hAnsi="Book Antiqua" w:cs="Times New Roman"/>
          <w:sz w:val="28"/>
          <w:szCs w:val="32"/>
        </w:rPr>
        <w:br w:type="page"/>
      </w:r>
    </w:p>
    <w:p w:rsidR="001D1A50" w:rsidRPr="001D2C3D" w:rsidRDefault="00352120" w:rsidP="003478DB">
      <w:pPr>
        <w:pStyle w:val="ListParagraph"/>
        <w:numPr>
          <w:ilvl w:val="0"/>
          <w:numId w:val="16"/>
        </w:numPr>
        <w:spacing w:after="120"/>
        <w:contextualSpacing w:val="0"/>
        <w:rPr>
          <w:rFonts w:ascii="Book Antiqua" w:eastAsia="Times New Roman" w:hAnsi="Book Antiqua" w:cs="Times New Roman"/>
          <w:sz w:val="28"/>
          <w:szCs w:val="32"/>
        </w:rPr>
      </w:pPr>
      <w:r w:rsidRPr="001D2C3D">
        <w:rPr>
          <w:rFonts w:ascii="Book Antiqua" w:eastAsia="Times New Roman" w:hAnsi="Book Antiqua" w:cs="Times New Roman"/>
          <w:sz w:val="28"/>
          <w:szCs w:val="32"/>
        </w:rPr>
        <w:lastRenderedPageBreak/>
        <w:t>refused to comply with the order granting the plaintiff’s motion to compel</w:t>
      </w:r>
      <w:r w:rsidR="001D6EBC">
        <w:rPr>
          <w:rFonts w:ascii="Book Antiqua" w:eastAsia="Times New Roman" w:hAnsi="Book Antiqua" w:cs="Times New Roman"/>
          <w:sz w:val="28"/>
          <w:szCs w:val="32"/>
        </w:rPr>
        <w:t xml:space="preserve"> class-wide discovery</w:t>
      </w:r>
      <w:r w:rsidRPr="001D2C3D">
        <w:rPr>
          <w:rFonts w:ascii="Book Antiqua" w:eastAsia="Times New Roman" w:hAnsi="Book Antiqua" w:cs="Times New Roman"/>
          <w:sz w:val="28"/>
          <w:szCs w:val="32"/>
        </w:rPr>
        <w:t xml:space="preserve">, </w:t>
      </w:r>
      <w:r w:rsidRPr="001D2C3D">
        <w:rPr>
          <w:rFonts w:ascii="Book Antiqua" w:eastAsia="Times New Roman" w:hAnsi="Book Antiqua" w:cs="Times New Roman"/>
          <w:i/>
          <w:sz w:val="28"/>
          <w:szCs w:val="32"/>
        </w:rPr>
        <w:t>see</w:t>
      </w:r>
      <w:r w:rsidRPr="001D2C3D">
        <w:rPr>
          <w:rFonts w:ascii="Book Antiqua" w:eastAsia="Times New Roman" w:hAnsi="Book Antiqua" w:cs="Times New Roman"/>
          <w:sz w:val="28"/>
          <w:szCs w:val="32"/>
        </w:rPr>
        <w:t xml:space="preserve"> ECF 41-2, </w:t>
      </w:r>
      <w:r w:rsidRPr="001D2C3D">
        <w:rPr>
          <w:rFonts w:ascii="Book Antiqua" w:eastAsia="Times New Roman" w:hAnsi="Book Antiqua" w:cs="Times New Roman"/>
          <w:b/>
          <w:sz w:val="28"/>
          <w:szCs w:val="32"/>
        </w:rPr>
        <w:t>requiring the plaintiff to move for sanctions</w:t>
      </w:r>
      <w:r w:rsidRPr="001D2C3D">
        <w:rPr>
          <w:rFonts w:ascii="Book Antiqua" w:eastAsia="Times New Roman" w:hAnsi="Book Antiqua" w:cs="Times New Roman"/>
          <w:sz w:val="28"/>
          <w:szCs w:val="32"/>
        </w:rPr>
        <w:t>, ECF 41</w:t>
      </w:r>
      <w:r w:rsidR="00C33419" w:rsidRPr="001D2C3D">
        <w:rPr>
          <w:rFonts w:ascii="Book Antiqua" w:eastAsia="Times New Roman" w:hAnsi="Book Antiqua" w:cs="Times New Roman"/>
          <w:sz w:val="28"/>
          <w:szCs w:val="32"/>
        </w:rPr>
        <w:t>, 43, 44</w:t>
      </w:r>
      <w:r w:rsidRPr="001D2C3D">
        <w:rPr>
          <w:rFonts w:ascii="Book Antiqua" w:eastAsia="Times New Roman" w:hAnsi="Book Antiqua" w:cs="Times New Roman"/>
          <w:sz w:val="28"/>
          <w:szCs w:val="32"/>
        </w:rPr>
        <w:t xml:space="preserve">; while the court did not impose sanctions, it imposed a deadline by which Cracker Barrel would have to produce class-wide discovery, ECF 47;   </w:t>
      </w:r>
    </w:p>
    <w:p w:rsidR="001D1A50" w:rsidRPr="001D2C3D" w:rsidRDefault="001D1A50" w:rsidP="003478DB">
      <w:pPr>
        <w:pStyle w:val="ListParagraph"/>
        <w:numPr>
          <w:ilvl w:val="0"/>
          <w:numId w:val="16"/>
        </w:numPr>
        <w:spacing w:after="120"/>
        <w:contextualSpacing w:val="0"/>
        <w:rPr>
          <w:rFonts w:ascii="Book Antiqua" w:eastAsia="Times New Roman" w:hAnsi="Book Antiqua" w:cs="Times New Roman"/>
          <w:sz w:val="28"/>
          <w:szCs w:val="32"/>
        </w:rPr>
      </w:pPr>
      <w:r w:rsidRPr="001D2C3D">
        <w:rPr>
          <w:rFonts w:ascii="Book Antiqua" w:eastAsia="Times New Roman" w:hAnsi="Book Antiqua" w:cs="Times New Roman"/>
          <w:sz w:val="28"/>
          <w:szCs w:val="32"/>
        </w:rPr>
        <w:t xml:space="preserve">moved unsuccessfully to compel discovery from the plaintiff, ECF 55, </w:t>
      </w:r>
      <w:r w:rsidR="00FC2E34" w:rsidRPr="001D2C3D">
        <w:rPr>
          <w:rFonts w:ascii="Book Antiqua" w:eastAsia="Times New Roman" w:hAnsi="Book Antiqua" w:cs="Times New Roman"/>
          <w:sz w:val="28"/>
          <w:szCs w:val="32"/>
        </w:rPr>
        <w:t xml:space="preserve">60, </w:t>
      </w:r>
      <w:r w:rsidRPr="001D2C3D">
        <w:rPr>
          <w:rFonts w:ascii="Book Antiqua" w:eastAsia="Times New Roman" w:hAnsi="Book Antiqua" w:cs="Times New Roman"/>
          <w:sz w:val="28"/>
          <w:szCs w:val="32"/>
        </w:rPr>
        <w:t xml:space="preserve">62; </w:t>
      </w:r>
    </w:p>
    <w:p w:rsidR="00FC2E34" w:rsidRPr="00360F48" w:rsidRDefault="001D1A50" w:rsidP="003478DB">
      <w:pPr>
        <w:pStyle w:val="ListParagraph"/>
        <w:numPr>
          <w:ilvl w:val="0"/>
          <w:numId w:val="16"/>
        </w:numPr>
        <w:spacing w:after="120"/>
        <w:contextualSpacing w:val="0"/>
        <w:rPr>
          <w:rFonts w:ascii="Book Antiqua" w:eastAsia="Times New Roman" w:hAnsi="Book Antiqua" w:cs="Times New Roman"/>
          <w:sz w:val="28"/>
          <w:szCs w:val="32"/>
        </w:rPr>
      </w:pPr>
      <w:r w:rsidRPr="00360F48">
        <w:rPr>
          <w:rFonts w:ascii="Book Antiqua" w:eastAsia="Times New Roman" w:hAnsi="Book Antiqua" w:cs="Times New Roman"/>
          <w:b/>
          <w:sz w:val="28"/>
          <w:szCs w:val="32"/>
        </w:rPr>
        <w:t xml:space="preserve">moved </w:t>
      </w:r>
      <w:r w:rsidR="00FC2E34" w:rsidRPr="00360F48">
        <w:rPr>
          <w:rFonts w:ascii="Book Antiqua" w:eastAsia="Times New Roman" w:hAnsi="Book Antiqua" w:cs="Times New Roman"/>
          <w:b/>
          <w:sz w:val="28"/>
          <w:szCs w:val="32"/>
        </w:rPr>
        <w:t xml:space="preserve">prematurely </w:t>
      </w:r>
      <w:r w:rsidR="003B2C40" w:rsidRPr="00360F48">
        <w:rPr>
          <w:rFonts w:ascii="Book Antiqua" w:eastAsia="Times New Roman" w:hAnsi="Book Antiqua" w:cs="Times New Roman"/>
          <w:b/>
          <w:sz w:val="28"/>
          <w:szCs w:val="32"/>
        </w:rPr>
        <w:t xml:space="preserve">-- and ultimately unsuccessfully </w:t>
      </w:r>
      <w:r w:rsidR="00833590" w:rsidRPr="00360F48">
        <w:rPr>
          <w:rFonts w:ascii="Book Antiqua" w:eastAsia="Times New Roman" w:hAnsi="Book Antiqua" w:cs="Times New Roman"/>
          <w:b/>
          <w:sz w:val="28"/>
          <w:szCs w:val="32"/>
        </w:rPr>
        <w:t xml:space="preserve">-- </w:t>
      </w:r>
      <w:r w:rsidRPr="00360F48">
        <w:rPr>
          <w:rFonts w:ascii="Book Antiqua" w:eastAsia="Times New Roman" w:hAnsi="Book Antiqua" w:cs="Times New Roman"/>
          <w:b/>
          <w:sz w:val="28"/>
          <w:szCs w:val="32"/>
        </w:rPr>
        <w:t>for summary judgment</w:t>
      </w:r>
      <w:r w:rsidRPr="00360F48">
        <w:rPr>
          <w:rFonts w:ascii="Book Antiqua" w:eastAsia="Times New Roman" w:hAnsi="Book Antiqua" w:cs="Times New Roman"/>
          <w:sz w:val="28"/>
          <w:szCs w:val="32"/>
        </w:rPr>
        <w:t xml:space="preserve">, ECF 64, </w:t>
      </w:r>
      <w:r w:rsidR="009C2057" w:rsidRPr="00360F48">
        <w:rPr>
          <w:rFonts w:ascii="Book Antiqua" w:eastAsia="Times New Roman" w:hAnsi="Book Antiqua" w:cs="Times New Roman"/>
          <w:sz w:val="28"/>
          <w:szCs w:val="32"/>
        </w:rPr>
        <w:t xml:space="preserve">100, 105, 106, </w:t>
      </w:r>
      <w:r w:rsidR="00360F48" w:rsidRPr="00360F48">
        <w:rPr>
          <w:rFonts w:ascii="Book Antiqua" w:eastAsia="Times New Roman" w:hAnsi="Book Antiqua" w:cs="Times New Roman"/>
          <w:sz w:val="28"/>
          <w:szCs w:val="32"/>
        </w:rPr>
        <w:t xml:space="preserve">113, </w:t>
      </w:r>
      <w:r w:rsidRPr="00360F48">
        <w:rPr>
          <w:rFonts w:ascii="Book Antiqua" w:eastAsia="Times New Roman" w:hAnsi="Book Antiqua" w:cs="Times New Roman"/>
          <w:sz w:val="28"/>
          <w:szCs w:val="32"/>
        </w:rPr>
        <w:t xml:space="preserve">in response to which the plaintiff moved successfully for </w:t>
      </w:r>
      <w:r w:rsidR="00FC2E34" w:rsidRPr="00360F48">
        <w:rPr>
          <w:rFonts w:ascii="Book Antiqua" w:eastAsia="Times New Roman" w:hAnsi="Book Antiqua" w:cs="Times New Roman"/>
          <w:sz w:val="28"/>
          <w:szCs w:val="32"/>
        </w:rPr>
        <w:t>additional discovery</w:t>
      </w:r>
      <w:r w:rsidRPr="00360F48">
        <w:rPr>
          <w:rFonts w:ascii="Book Antiqua" w:eastAsia="Times New Roman" w:hAnsi="Book Antiqua" w:cs="Times New Roman"/>
          <w:sz w:val="28"/>
          <w:szCs w:val="32"/>
        </w:rPr>
        <w:t xml:space="preserve">, ECF 74, 82; </w:t>
      </w:r>
    </w:p>
    <w:p w:rsidR="001D1A50" w:rsidRPr="001D2C3D" w:rsidRDefault="00FC2E34" w:rsidP="003478DB">
      <w:pPr>
        <w:pStyle w:val="ListParagraph"/>
        <w:numPr>
          <w:ilvl w:val="0"/>
          <w:numId w:val="16"/>
        </w:numPr>
        <w:spacing w:after="120"/>
        <w:contextualSpacing w:val="0"/>
        <w:rPr>
          <w:rFonts w:ascii="Book Antiqua" w:eastAsia="Times New Roman" w:hAnsi="Book Antiqua" w:cs="Times New Roman"/>
          <w:sz w:val="28"/>
          <w:szCs w:val="32"/>
        </w:rPr>
      </w:pPr>
      <w:r w:rsidRPr="001D2C3D">
        <w:rPr>
          <w:rFonts w:ascii="Book Antiqua" w:eastAsia="Times New Roman" w:hAnsi="Book Antiqua" w:cs="Times New Roman"/>
          <w:sz w:val="28"/>
          <w:szCs w:val="32"/>
        </w:rPr>
        <w:t xml:space="preserve">moved unsuccessfully to </w:t>
      </w:r>
      <w:r w:rsidRPr="00EC3432">
        <w:rPr>
          <w:rFonts w:ascii="Book Antiqua" w:eastAsia="Times New Roman" w:hAnsi="Book Antiqua" w:cs="Times New Roman"/>
          <w:b/>
          <w:sz w:val="28"/>
          <w:szCs w:val="32"/>
        </w:rPr>
        <w:t>stay all proceedings</w:t>
      </w:r>
      <w:r w:rsidRPr="001D2C3D">
        <w:rPr>
          <w:rFonts w:ascii="Book Antiqua" w:eastAsia="Times New Roman" w:hAnsi="Book Antiqua" w:cs="Times New Roman"/>
          <w:sz w:val="28"/>
          <w:szCs w:val="32"/>
        </w:rPr>
        <w:t xml:space="preserve"> pending ruling on its summary judgment motion, ECF 71, </w:t>
      </w:r>
      <w:r w:rsidR="003B2C40" w:rsidRPr="001D2C3D">
        <w:rPr>
          <w:rFonts w:ascii="Book Antiqua" w:eastAsia="Times New Roman" w:hAnsi="Book Antiqua" w:cs="Times New Roman"/>
          <w:sz w:val="28"/>
          <w:szCs w:val="32"/>
        </w:rPr>
        <w:t xml:space="preserve">78, 81, </w:t>
      </w:r>
      <w:r w:rsidRPr="001D2C3D">
        <w:rPr>
          <w:rFonts w:ascii="Book Antiqua" w:eastAsia="Times New Roman" w:hAnsi="Book Antiqua" w:cs="Times New Roman"/>
          <w:sz w:val="28"/>
          <w:szCs w:val="32"/>
        </w:rPr>
        <w:t xml:space="preserve">82; </w:t>
      </w:r>
    </w:p>
    <w:p w:rsidR="001D1A50" w:rsidRPr="001D2C3D" w:rsidRDefault="001D1A50" w:rsidP="003478DB">
      <w:pPr>
        <w:pStyle w:val="ListParagraph"/>
        <w:numPr>
          <w:ilvl w:val="0"/>
          <w:numId w:val="16"/>
        </w:numPr>
        <w:spacing w:after="120"/>
        <w:contextualSpacing w:val="0"/>
        <w:rPr>
          <w:rFonts w:ascii="Book Antiqua" w:eastAsia="Times New Roman" w:hAnsi="Book Antiqua" w:cs="Times New Roman"/>
          <w:sz w:val="28"/>
          <w:szCs w:val="32"/>
        </w:rPr>
      </w:pPr>
      <w:r w:rsidRPr="001D2C3D">
        <w:rPr>
          <w:rFonts w:ascii="Book Antiqua" w:eastAsia="Times New Roman" w:hAnsi="Book Antiqua" w:cs="Times New Roman"/>
          <w:sz w:val="28"/>
          <w:szCs w:val="32"/>
        </w:rPr>
        <w:t xml:space="preserve">unsuccessfully objected to the magistrate’s recommendation to deny its summary judgment motion, ECF </w:t>
      </w:r>
      <w:r w:rsidR="00AC458E" w:rsidRPr="001D2C3D">
        <w:rPr>
          <w:rFonts w:ascii="Book Antiqua" w:eastAsia="Times New Roman" w:hAnsi="Book Antiqua" w:cs="Times New Roman"/>
          <w:sz w:val="28"/>
          <w:szCs w:val="32"/>
        </w:rPr>
        <w:t xml:space="preserve">116, </w:t>
      </w:r>
      <w:r w:rsidRPr="001D2C3D">
        <w:rPr>
          <w:rFonts w:ascii="Book Antiqua" w:eastAsia="Times New Roman" w:hAnsi="Book Antiqua" w:cs="Times New Roman"/>
          <w:sz w:val="28"/>
          <w:szCs w:val="32"/>
        </w:rPr>
        <w:t>126;</w:t>
      </w:r>
      <w:r w:rsidRPr="001D2C3D">
        <w:rPr>
          <w:rFonts w:ascii="Book Antiqua" w:hAnsi="Book Antiqua"/>
          <w:vertAlign w:val="superscript"/>
        </w:rPr>
        <w:footnoteReference w:id="3"/>
      </w:r>
      <w:r w:rsidRPr="001D2C3D">
        <w:rPr>
          <w:rFonts w:ascii="Book Antiqua" w:eastAsia="Times New Roman" w:hAnsi="Book Antiqua" w:cs="Times New Roman"/>
          <w:sz w:val="28"/>
          <w:szCs w:val="32"/>
        </w:rPr>
        <w:t xml:space="preserve"> </w:t>
      </w:r>
    </w:p>
    <w:p w:rsidR="001D1A50" w:rsidRPr="001D2C3D" w:rsidRDefault="001D1A50" w:rsidP="003478DB">
      <w:pPr>
        <w:pStyle w:val="ListParagraph"/>
        <w:numPr>
          <w:ilvl w:val="0"/>
          <w:numId w:val="16"/>
        </w:numPr>
        <w:spacing w:after="120"/>
        <w:contextualSpacing w:val="0"/>
        <w:rPr>
          <w:rFonts w:ascii="Book Antiqua" w:eastAsia="Times New Roman" w:hAnsi="Book Antiqua" w:cs="Times New Roman"/>
          <w:sz w:val="28"/>
          <w:szCs w:val="32"/>
        </w:rPr>
      </w:pPr>
      <w:r w:rsidRPr="00EC3432">
        <w:rPr>
          <w:rFonts w:ascii="Book Antiqua" w:eastAsia="Times New Roman" w:hAnsi="Book Antiqua" w:cs="Times New Roman"/>
          <w:b/>
          <w:sz w:val="28"/>
          <w:szCs w:val="32"/>
        </w:rPr>
        <w:t>withheld ADA surveys of challenged facilities</w:t>
      </w:r>
      <w:r w:rsidRPr="001D2C3D">
        <w:rPr>
          <w:rFonts w:ascii="Book Antiqua" w:eastAsia="Times New Roman" w:hAnsi="Book Antiqua" w:cs="Times New Roman"/>
          <w:sz w:val="28"/>
          <w:szCs w:val="32"/>
        </w:rPr>
        <w:t xml:space="preserve"> requiring </w:t>
      </w:r>
      <w:r w:rsidR="001D6EBC">
        <w:rPr>
          <w:rFonts w:ascii="Book Antiqua" w:eastAsia="Times New Roman" w:hAnsi="Book Antiqua" w:cs="Times New Roman"/>
          <w:sz w:val="28"/>
          <w:szCs w:val="32"/>
        </w:rPr>
        <w:t xml:space="preserve">plaintiff to file </w:t>
      </w:r>
      <w:r w:rsidRPr="001D2C3D">
        <w:rPr>
          <w:rFonts w:ascii="Book Antiqua" w:eastAsia="Times New Roman" w:hAnsi="Book Antiqua" w:cs="Times New Roman"/>
          <w:sz w:val="28"/>
          <w:szCs w:val="32"/>
        </w:rPr>
        <w:t xml:space="preserve">a </w:t>
      </w:r>
      <w:r w:rsidR="001D6EBC">
        <w:rPr>
          <w:rFonts w:ascii="Book Antiqua" w:eastAsia="Times New Roman" w:hAnsi="Book Antiqua" w:cs="Times New Roman"/>
          <w:sz w:val="28"/>
          <w:szCs w:val="32"/>
        </w:rPr>
        <w:t>successful motion to compel</w:t>
      </w:r>
      <w:r w:rsidRPr="001D2C3D">
        <w:rPr>
          <w:rFonts w:ascii="Book Antiqua" w:eastAsia="Times New Roman" w:hAnsi="Book Antiqua" w:cs="Times New Roman"/>
          <w:sz w:val="28"/>
          <w:szCs w:val="32"/>
        </w:rPr>
        <w:t xml:space="preserve">, ECF 76, </w:t>
      </w:r>
      <w:r w:rsidR="00833590" w:rsidRPr="001D2C3D">
        <w:rPr>
          <w:rFonts w:ascii="Book Antiqua" w:eastAsia="Times New Roman" w:hAnsi="Book Antiqua" w:cs="Times New Roman"/>
          <w:sz w:val="28"/>
          <w:szCs w:val="32"/>
        </w:rPr>
        <w:t xml:space="preserve">85, 87, </w:t>
      </w:r>
      <w:r w:rsidRPr="001D2C3D">
        <w:rPr>
          <w:rFonts w:ascii="Book Antiqua" w:eastAsia="Times New Roman" w:hAnsi="Book Antiqua" w:cs="Times New Roman"/>
          <w:sz w:val="28"/>
          <w:szCs w:val="32"/>
        </w:rPr>
        <w:t>93;</w:t>
      </w:r>
      <w:r w:rsidRPr="001D2C3D">
        <w:rPr>
          <w:rFonts w:ascii="Book Antiqua" w:hAnsi="Book Antiqua"/>
          <w:vertAlign w:val="superscript"/>
        </w:rPr>
        <w:footnoteReference w:id="4"/>
      </w:r>
      <w:r w:rsidRPr="001D2C3D">
        <w:rPr>
          <w:rFonts w:ascii="Book Antiqua" w:eastAsia="Times New Roman" w:hAnsi="Book Antiqua" w:cs="Times New Roman"/>
          <w:sz w:val="28"/>
          <w:szCs w:val="32"/>
        </w:rPr>
        <w:t xml:space="preserve">   </w:t>
      </w:r>
    </w:p>
    <w:p w:rsidR="001D1A50" w:rsidRPr="001D2C3D" w:rsidRDefault="001D1A50" w:rsidP="003478DB">
      <w:pPr>
        <w:pStyle w:val="ListParagraph"/>
        <w:numPr>
          <w:ilvl w:val="0"/>
          <w:numId w:val="16"/>
        </w:numPr>
        <w:spacing w:after="120"/>
        <w:contextualSpacing w:val="0"/>
        <w:rPr>
          <w:rFonts w:ascii="Book Antiqua" w:eastAsia="Times New Roman" w:hAnsi="Book Antiqua" w:cs="Times New Roman"/>
          <w:sz w:val="28"/>
          <w:szCs w:val="32"/>
        </w:rPr>
      </w:pPr>
      <w:r w:rsidRPr="001D2C3D">
        <w:rPr>
          <w:rFonts w:ascii="Book Antiqua" w:eastAsia="Times New Roman" w:hAnsi="Book Antiqua" w:cs="Times New Roman"/>
          <w:sz w:val="28"/>
          <w:szCs w:val="32"/>
        </w:rPr>
        <w:t xml:space="preserve">moved unsuccessfully for a third protective order, ECF 91, </w:t>
      </w:r>
      <w:r w:rsidR="009C2057" w:rsidRPr="001D2C3D">
        <w:rPr>
          <w:rFonts w:ascii="Book Antiqua" w:eastAsia="Times New Roman" w:hAnsi="Book Antiqua" w:cs="Times New Roman"/>
          <w:sz w:val="28"/>
          <w:szCs w:val="32"/>
        </w:rPr>
        <w:t xml:space="preserve">92, </w:t>
      </w:r>
      <w:r w:rsidRPr="001D2C3D">
        <w:rPr>
          <w:rFonts w:ascii="Book Antiqua" w:eastAsia="Times New Roman" w:hAnsi="Book Antiqua" w:cs="Times New Roman"/>
          <w:sz w:val="28"/>
          <w:szCs w:val="32"/>
        </w:rPr>
        <w:t>96;</w:t>
      </w:r>
    </w:p>
    <w:p w:rsidR="003109FC" w:rsidRPr="001D2C3D" w:rsidRDefault="003109FC" w:rsidP="003478DB">
      <w:pPr>
        <w:pStyle w:val="ListParagraph"/>
        <w:numPr>
          <w:ilvl w:val="0"/>
          <w:numId w:val="16"/>
        </w:numPr>
        <w:spacing w:after="120"/>
        <w:contextualSpacing w:val="0"/>
        <w:rPr>
          <w:rFonts w:ascii="Book Antiqua" w:eastAsia="Times New Roman" w:hAnsi="Book Antiqua" w:cs="Times New Roman"/>
          <w:sz w:val="28"/>
          <w:szCs w:val="32"/>
        </w:rPr>
      </w:pPr>
      <w:r w:rsidRPr="001D2C3D">
        <w:rPr>
          <w:rFonts w:ascii="Book Antiqua" w:eastAsia="Times New Roman" w:hAnsi="Book Antiqua" w:cs="Times New Roman"/>
          <w:sz w:val="28"/>
          <w:szCs w:val="32"/>
        </w:rPr>
        <w:t xml:space="preserve">unsuccessfully </w:t>
      </w:r>
      <w:r w:rsidR="001D1A50" w:rsidRPr="001D2C3D">
        <w:rPr>
          <w:rFonts w:ascii="Book Antiqua" w:eastAsia="Times New Roman" w:hAnsi="Book Antiqua" w:cs="Times New Roman"/>
          <w:sz w:val="28"/>
          <w:szCs w:val="32"/>
        </w:rPr>
        <w:t xml:space="preserve">opposed the plaintiff’s </w:t>
      </w:r>
      <w:r w:rsidRPr="001D2C3D">
        <w:rPr>
          <w:rFonts w:ascii="Book Antiqua" w:eastAsia="Times New Roman" w:hAnsi="Book Antiqua" w:cs="Times New Roman"/>
          <w:sz w:val="28"/>
          <w:szCs w:val="32"/>
        </w:rPr>
        <w:t xml:space="preserve">motion for class certification, </w:t>
      </w:r>
      <w:r w:rsidR="001D1A50" w:rsidRPr="001D2C3D">
        <w:rPr>
          <w:rFonts w:ascii="Book Antiqua" w:eastAsia="Times New Roman" w:hAnsi="Book Antiqua" w:cs="Times New Roman"/>
          <w:sz w:val="28"/>
          <w:szCs w:val="32"/>
        </w:rPr>
        <w:t xml:space="preserve">ECF 103, 108, </w:t>
      </w:r>
      <w:r w:rsidRPr="001D2C3D">
        <w:rPr>
          <w:rFonts w:ascii="Book Antiqua" w:eastAsia="Times New Roman" w:hAnsi="Book Antiqua" w:cs="Times New Roman"/>
          <w:sz w:val="28"/>
          <w:szCs w:val="32"/>
        </w:rPr>
        <w:t xml:space="preserve">110, 113; </w:t>
      </w:r>
    </w:p>
    <w:p w:rsidR="001D1A50" w:rsidRPr="001D2C3D" w:rsidRDefault="003109FC" w:rsidP="003478DB">
      <w:pPr>
        <w:pStyle w:val="ListParagraph"/>
        <w:numPr>
          <w:ilvl w:val="0"/>
          <w:numId w:val="16"/>
        </w:numPr>
        <w:spacing w:after="120"/>
        <w:contextualSpacing w:val="0"/>
        <w:rPr>
          <w:rFonts w:ascii="Book Antiqua" w:eastAsia="Times New Roman" w:hAnsi="Book Antiqua" w:cs="Times New Roman"/>
          <w:sz w:val="28"/>
          <w:szCs w:val="32"/>
        </w:rPr>
      </w:pPr>
      <w:r w:rsidRPr="001D2C3D">
        <w:rPr>
          <w:rFonts w:ascii="Book Antiqua" w:eastAsia="Times New Roman" w:hAnsi="Book Antiqua" w:cs="Times New Roman"/>
          <w:sz w:val="28"/>
          <w:szCs w:val="32"/>
        </w:rPr>
        <w:t xml:space="preserve">unsuccessfully objected to the magistrate’s recommendation to grant the motion for class certification, ECF </w:t>
      </w:r>
      <w:r w:rsidR="001D1A50" w:rsidRPr="001D2C3D">
        <w:rPr>
          <w:rFonts w:ascii="Book Antiqua" w:eastAsia="Times New Roman" w:hAnsi="Book Antiqua" w:cs="Times New Roman"/>
          <w:sz w:val="28"/>
          <w:szCs w:val="32"/>
        </w:rPr>
        <w:t xml:space="preserve">116, </w:t>
      </w:r>
      <w:r w:rsidRPr="001D2C3D">
        <w:rPr>
          <w:rFonts w:ascii="Book Antiqua" w:eastAsia="Times New Roman" w:hAnsi="Book Antiqua" w:cs="Times New Roman"/>
          <w:sz w:val="28"/>
          <w:szCs w:val="32"/>
        </w:rPr>
        <w:t xml:space="preserve">119, </w:t>
      </w:r>
      <w:r w:rsidR="00AC458E" w:rsidRPr="001D2C3D">
        <w:rPr>
          <w:rFonts w:ascii="Book Antiqua" w:eastAsia="Times New Roman" w:hAnsi="Book Antiqua" w:cs="Times New Roman"/>
          <w:sz w:val="28"/>
          <w:szCs w:val="32"/>
        </w:rPr>
        <w:t xml:space="preserve">123, </w:t>
      </w:r>
      <w:r w:rsidR="001D1A50" w:rsidRPr="001D2C3D">
        <w:rPr>
          <w:rFonts w:ascii="Book Antiqua" w:eastAsia="Times New Roman" w:hAnsi="Book Antiqua" w:cs="Times New Roman"/>
          <w:sz w:val="28"/>
          <w:szCs w:val="32"/>
        </w:rPr>
        <w:t>126;</w:t>
      </w:r>
      <w:r w:rsidR="001D1A50" w:rsidRPr="001D2C3D">
        <w:rPr>
          <w:rFonts w:ascii="Book Antiqua" w:hAnsi="Book Antiqua"/>
          <w:vertAlign w:val="superscript"/>
        </w:rPr>
        <w:footnoteReference w:id="5"/>
      </w:r>
      <w:r w:rsidR="001D1A50" w:rsidRPr="001D2C3D">
        <w:rPr>
          <w:rFonts w:ascii="Book Antiqua" w:eastAsia="Times New Roman" w:hAnsi="Book Antiqua" w:cs="Times New Roman"/>
          <w:sz w:val="28"/>
          <w:szCs w:val="32"/>
        </w:rPr>
        <w:t xml:space="preserve">  </w:t>
      </w:r>
    </w:p>
    <w:p w:rsidR="001D1A50" w:rsidRPr="001D2C3D" w:rsidRDefault="00132EF3" w:rsidP="003478DB">
      <w:pPr>
        <w:pStyle w:val="ListParagraph"/>
        <w:numPr>
          <w:ilvl w:val="0"/>
          <w:numId w:val="16"/>
        </w:numPr>
        <w:spacing w:after="120"/>
        <w:contextualSpacing w:val="0"/>
        <w:rPr>
          <w:rFonts w:ascii="Book Antiqua" w:eastAsia="Times New Roman" w:hAnsi="Book Antiqua" w:cs="Times New Roman"/>
          <w:sz w:val="28"/>
          <w:szCs w:val="32"/>
        </w:rPr>
      </w:pPr>
      <w:r w:rsidRPr="001D2C3D">
        <w:rPr>
          <w:rFonts w:ascii="Book Antiqua" w:eastAsia="Times New Roman" w:hAnsi="Book Antiqua" w:cs="Times New Roman"/>
          <w:sz w:val="28"/>
          <w:szCs w:val="32"/>
        </w:rPr>
        <w:t xml:space="preserve">unsuccessfully petitioned the Third Circuit Court of Appeals </w:t>
      </w:r>
      <w:r w:rsidR="001D1A50" w:rsidRPr="001D2C3D">
        <w:rPr>
          <w:rFonts w:ascii="Book Antiqua" w:eastAsia="Times New Roman" w:hAnsi="Book Antiqua" w:cs="Times New Roman"/>
          <w:sz w:val="28"/>
          <w:szCs w:val="32"/>
        </w:rPr>
        <w:t>pursuant to Rule 23(f) to</w:t>
      </w:r>
      <w:r w:rsidRPr="001D2C3D">
        <w:rPr>
          <w:rFonts w:ascii="Book Antiqua" w:eastAsia="Times New Roman" w:hAnsi="Book Antiqua" w:cs="Times New Roman"/>
          <w:sz w:val="28"/>
          <w:szCs w:val="32"/>
        </w:rPr>
        <w:t xml:space="preserve"> challenge class certification</w:t>
      </w:r>
      <w:r w:rsidR="001D1A50" w:rsidRPr="001D2C3D">
        <w:rPr>
          <w:rFonts w:ascii="Book Antiqua" w:eastAsia="Times New Roman" w:hAnsi="Book Antiqua" w:cs="Times New Roman"/>
          <w:sz w:val="28"/>
          <w:szCs w:val="32"/>
        </w:rPr>
        <w:t>; and</w:t>
      </w:r>
    </w:p>
    <w:p w:rsidR="001B0B01" w:rsidRPr="00377F57" w:rsidRDefault="001D1A50" w:rsidP="003478DB">
      <w:pPr>
        <w:pStyle w:val="ListParagraph"/>
        <w:numPr>
          <w:ilvl w:val="0"/>
          <w:numId w:val="16"/>
        </w:numPr>
        <w:spacing w:after="120"/>
        <w:contextualSpacing w:val="0"/>
        <w:rPr>
          <w:rFonts w:ascii="Book Antiqua" w:eastAsia="Times New Roman" w:hAnsi="Book Antiqua" w:cs="Times New Roman"/>
          <w:sz w:val="28"/>
          <w:szCs w:val="28"/>
        </w:rPr>
      </w:pPr>
      <w:r w:rsidRPr="00EC3432">
        <w:rPr>
          <w:rFonts w:ascii="Book Antiqua" w:eastAsia="Times New Roman" w:hAnsi="Book Antiqua" w:cs="Times New Roman"/>
          <w:b/>
          <w:sz w:val="28"/>
          <w:szCs w:val="28"/>
        </w:rPr>
        <w:lastRenderedPageBreak/>
        <w:t xml:space="preserve">unsuccessfully moved </w:t>
      </w:r>
      <w:r w:rsidR="001B0B01" w:rsidRPr="00EC3432">
        <w:rPr>
          <w:rFonts w:ascii="Book Antiqua" w:eastAsia="Times New Roman" w:hAnsi="Book Antiqua" w:cs="Times New Roman"/>
          <w:b/>
          <w:sz w:val="28"/>
          <w:szCs w:val="28"/>
        </w:rPr>
        <w:t xml:space="preserve">-- for a third time -- </w:t>
      </w:r>
      <w:r w:rsidRPr="00EC3432">
        <w:rPr>
          <w:rFonts w:ascii="Book Antiqua" w:eastAsia="Times New Roman" w:hAnsi="Book Antiqua" w:cs="Times New Roman"/>
          <w:b/>
          <w:sz w:val="28"/>
          <w:szCs w:val="28"/>
        </w:rPr>
        <w:t>to stay proceedings</w:t>
      </w:r>
      <w:r w:rsidRPr="00377F57">
        <w:rPr>
          <w:rFonts w:ascii="Book Antiqua" w:eastAsia="Times New Roman" w:hAnsi="Book Antiqua" w:cs="Times New Roman"/>
          <w:sz w:val="28"/>
          <w:szCs w:val="28"/>
        </w:rPr>
        <w:t xml:space="preserve"> pending resolution of its Rule 23(f) petition</w:t>
      </w:r>
      <w:r w:rsidR="001B0B01" w:rsidRPr="00377F57">
        <w:rPr>
          <w:rFonts w:ascii="Book Antiqua" w:eastAsia="Times New Roman" w:hAnsi="Book Antiqua" w:cs="Times New Roman"/>
          <w:sz w:val="28"/>
          <w:szCs w:val="28"/>
        </w:rPr>
        <w:t xml:space="preserve">, ECF </w:t>
      </w:r>
      <w:r w:rsidR="00EA1BC1" w:rsidRPr="00377F57">
        <w:rPr>
          <w:rFonts w:ascii="Book Antiqua" w:eastAsia="Times New Roman" w:hAnsi="Book Antiqua" w:cs="Times New Roman"/>
          <w:sz w:val="28"/>
          <w:szCs w:val="28"/>
        </w:rPr>
        <w:t xml:space="preserve">131, 134; </w:t>
      </w:r>
    </w:p>
    <w:p w:rsidR="001D1A50" w:rsidRPr="00377F57" w:rsidRDefault="001D1A50" w:rsidP="003478DB">
      <w:pPr>
        <w:pStyle w:val="ListParagraph"/>
        <w:numPr>
          <w:ilvl w:val="0"/>
          <w:numId w:val="16"/>
        </w:numPr>
        <w:spacing w:after="120"/>
        <w:contextualSpacing w:val="0"/>
        <w:rPr>
          <w:rFonts w:ascii="Book Antiqua" w:eastAsia="Times New Roman" w:hAnsi="Book Antiqua" w:cs="Times New Roman"/>
          <w:sz w:val="28"/>
          <w:szCs w:val="28"/>
        </w:rPr>
      </w:pPr>
      <w:r w:rsidRPr="00377F57">
        <w:rPr>
          <w:rFonts w:ascii="Book Antiqua" w:eastAsia="Times New Roman" w:hAnsi="Book Antiqua" w:cs="Times New Roman"/>
          <w:sz w:val="28"/>
          <w:szCs w:val="28"/>
        </w:rPr>
        <w:t>unsuccessfully objected to the magistrate’s recommen</w:t>
      </w:r>
      <w:r w:rsidR="00EA1BC1" w:rsidRPr="00377F57">
        <w:rPr>
          <w:rFonts w:ascii="Book Antiqua" w:eastAsia="Times New Roman" w:hAnsi="Book Antiqua" w:cs="Times New Roman"/>
          <w:sz w:val="28"/>
          <w:szCs w:val="28"/>
        </w:rPr>
        <w:t>dation to deny the stay, ECF 135,</w:t>
      </w:r>
      <w:r w:rsidRPr="00377F57">
        <w:rPr>
          <w:rFonts w:ascii="Book Antiqua" w:eastAsia="Times New Roman" w:hAnsi="Book Antiqua" w:cs="Times New Roman"/>
          <w:sz w:val="28"/>
          <w:szCs w:val="28"/>
        </w:rPr>
        <w:t xml:space="preserve"> </w:t>
      </w:r>
      <w:r w:rsidR="00132EF3" w:rsidRPr="00377F57">
        <w:rPr>
          <w:rFonts w:ascii="Book Antiqua" w:eastAsia="Times New Roman" w:hAnsi="Book Antiqua" w:cs="Times New Roman"/>
          <w:sz w:val="28"/>
          <w:szCs w:val="28"/>
        </w:rPr>
        <w:t xml:space="preserve">136, </w:t>
      </w:r>
      <w:r w:rsidRPr="00377F57">
        <w:rPr>
          <w:rFonts w:ascii="Book Antiqua" w:eastAsia="Times New Roman" w:hAnsi="Book Antiqua" w:cs="Times New Roman"/>
          <w:sz w:val="28"/>
          <w:szCs w:val="28"/>
        </w:rPr>
        <w:t xml:space="preserve">137. </w:t>
      </w:r>
    </w:p>
    <w:p w:rsidR="00FE2BB4" w:rsidRPr="0088444F" w:rsidRDefault="0059021D" w:rsidP="00507C85">
      <w:pPr>
        <w:rPr>
          <w:rFonts w:ascii="Book Antiqua" w:hAnsi="Book Antiqua"/>
          <w:b/>
          <w:sz w:val="28"/>
          <w:szCs w:val="28"/>
        </w:rPr>
      </w:pPr>
      <w:r w:rsidRPr="00377F57">
        <w:rPr>
          <w:rFonts w:ascii="Book Antiqua" w:hAnsi="Book Antiqua"/>
          <w:sz w:val="28"/>
          <w:szCs w:val="28"/>
        </w:rPr>
        <w:tab/>
        <w:t xml:space="preserve">The case was filed in October, 2014, demanding that Cracker Barrel bring </w:t>
      </w:r>
      <w:r w:rsidR="00EC3432">
        <w:rPr>
          <w:rFonts w:ascii="Book Antiqua" w:hAnsi="Book Antiqua"/>
          <w:sz w:val="28"/>
          <w:szCs w:val="28"/>
        </w:rPr>
        <w:t xml:space="preserve">its parking </w:t>
      </w:r>
      <w:r w:rsidRPr="00377F57">
        <w:rPr>
          <w:rFonts w:ascii="Book Antiqua" w:hAnsi="Book Antiqua"/>
          <w:sz w:val="28"/>
          <w:szCs w:val="28"/>
        </w:rPr>
        <w:t xml:space="preserve">lots into compliance </w:t>
      </w:r>
      <w:r w:rsidR="003F4D00" w:rsidRPr="00377F57">
        <w:rPr>
          <w:rFonts w:ascii="Book Antiqua" w:hAnsi="Book Antiqua"/>
          <w:sz w:val="28"/>
          <w:szCs w:val="28"/>
        </w:rPr>
        <w:t xml:space="preserve">with the ADA.  ECF 1.  In May, 2017, after all of the motions and maneuvers listed above, Cracker Barrel agreed to precisely this relief:  that it would survey </w:t>
      </w:r>
      <w:r w:rsidR="00377F57" w:rsidRPr="00377F57">
        <w:rPr>
          <w:rFonts w:ascii="Book Antiqua" w:hAnsi="Book Antiqua"/>
          <w:sz w:val="28"/>
          <w:szCs w:val="28"/>
        </w:rPr>
        <w:t xml:space="preserve">it stores and bring </w:t>
      </w:r>
      <w:r w:rsidR="00EC3432">
        <w:rPr>
          <w:rFonts w:ascii="Book Antiqua" w:hAnsi="Book Antiqua"/>
          <w:sz w:val="28"/>
          <w:szCs w:val="28"/>
        </w:rPr>
        <w:t>the</w:t>
      </w:r>
      <w:r w:rsidR="00377F57" w:rsidRPr="00377F57">
        <w:rPr>
          <w:rFonts w:ascii="Book Antiqua" w:hAnsi="Book Antiqua"/>
          <w:sz w:val="28"/>
          <w:szCs w:val="28"/>
        </w:rPr>
        <w:t xml:space="preserve"> parking lots into comp</w:t>
      </w:r>
      <w:r w:rsidR="006563BA">
        <w:rPr>
          <w:rFonts w:ascii="Book Antiqua" w:hAnsi="Book Antiqua"/>
          <w:sz w:val="28"/>
          <w:szCs w:val="28"/>
        </w:rPr>
        <w:t xml:space="preserve">liance with the ADA.  ECF 163-1. In the meantime, people with mobility disabilities went another two and a half years without accessible parking, and Cracker Barrel’s lawyers </w:t>
      </w:r>
      <w:r w:rsidR="00BA4600" w:rsidRPr="0088444F">
        <w:rPr>
          <w:rFonts w:ascii="Book Antiqua" w:hAnsi="Book Antiqua"/>
          <w:b/>
          <w:sz w:val="28"/>
          <w:szCs w:val="28"/>
        </w:rPr>
        <w:t xml:space="preserve">billed their client for the time spent drafting and filing </w:t>
      </w:r>
      <w:r w:rsidR="0088444F" w:rsidRPr="0088444F">
        <w:rPr>
          <w:rFonts w:ascii="Book Antiqua" w:hAnsi="Book Antiqua"/>
          <w:b/>
          <w:sz w:val="28"/>
          <w:szCs w:val="28"/>
        </w:rPr>
        <w:t xml:space="preserve">21 separate briefs in pursuit of this campaign of delay.  </w:t>
      </w:r>
    </w:p>
    <w:p w:rsidR="005C7899" w:rsidRDefault="005C7899" w:rsidP="00507C85">
      <w:pPr>
        <w:rPr>
          <w:rFonts w:ascii="Book Antiqua" w:hAnsi="Book Antiqua"/>
          <w:sz w:val="28"/>
          <w:szCs w:val="28"/>
        </w:rPr>
      </w:pPr>
    </w:p>
    <w:p w:rsidR="00557E81" w:rsidRPr="008267B1" w:rsidRDefault="00F942D0" w:rsidP="008267B1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 xml:space="preserve">H.R. 620 will add yet another layer of process </w:t>
      </w:r>
      <w:r w:rsidR="002E0E11">
        <w:rPr>
          <w:rFonts w:ascii="Book Antiqua" w:hAnsi="Book Antiqua"/>
          <w:sz w:val="28"/>
          <w:szCs w:val="28"/>
        </w:rPr>
        <w:t xml:space="preserve">-- another hoop to jump through -- before </w:t>
      </w:r>
      <w:r>
        <w:rPr>
          <w:rFonts w:ascii="Book Antiqua" w:hAnsi="Book Antiqua"/>
          <w:sz w:val="28"/>
          <w:szCs w:val="28"/>
        </w:rPr>
        <w:t xml:space="preserve">people with disabilities </w:t>
      </w:r>
      <w:r w:rsidR="002E0E11">
        <w:rPr>
          <w:rFonts w:ascii="Book Antiqua" w:hAnsi="Book Antiqua"/>
          <w:sz w:val="28"/>
          <w:szCs w:val="28"/>
        </w:rPr>
        <w:t xml:space="preserve">can have </w:t>
      </w:r>
      <w:r>
        <w:rPr>
          <w:rFonts w:ascii="Book Antiqua" w:hAnsi="Book Antiqua"/>
          <w:sz w:val="28"/>
          <w:szCs w:val="28"/>
        </w:rPr>
        <w:t>the access guaranteed them when the ADA was passed in 1990</w:t>
      </w:r>
      <w:r w:rsidR="002E0E11">
        <w:rPr>
          <w:rFonts w:ascii="Book Antiqua" w:hAnsi="Book Antiqua"/>
          <w:sz w:val="28"/>
          <w:szCs w:val="28"/>
        </w:rPr>
        <w:t xml:space="preserve">.  It will also add to the list above </w:t>
      </w:r>
      <w:r>
        <w:rPr>
          <w:rFonts w:ascii="Book Antiqua" w:hAnsi="Book Antiqua"/>
          <w:sz w:val="28"/>
          <w:szCs w:val="28"/>
        </w:rPr>
        <w:t xml:space="preserve">another motion </w:t>
      </w:r>
      <w:r w:rsidR="002E0E11">
        <w:rPr>
          <w:rFonts w:ascii="Book Antiqua" w:hAnsi="Book Antiqua"/>
          <w:sz w:val="28"/>
          <w:szCs w:val="28"/>
        </w:rPr>
        <w:t xml:space="preserve">that ADA defense counsel can be paid to file.  </w:t>
      </w:r>
      <w:r w:rsidR="00557E81">
        <w:rPr>
          <w:rFonts w:ascii="Book Antiqua" w:hAnsi="Book Antiqua"/>
          <w:sz w:val="28"/>
          <w:szCs w:val="28"/>
        </w:rPr>
        <w:tab/>
      </w:r>
    </w:p>
    <w:p w:rsidR="008267B1" w:rsidRPr="008267B1" w:rsidRDefault="008267B1" w:rsidP="008267B1">
      <w:pPr>
        <w:rPr>
          <w:rFonts w:ascii="Book Antiqua" w:hAnsi="Book Antiqua"/>
          <w:sz w:val="28"/>
          <w:szCs w:val="28"/>
        </w:rPr>
      </w:pPr>
    </w:p>
    <w:p w:rsidR="008267B1" w:rsidRPr="00377F57" w:rsidRDefault="008267B1" w:rsidP="00507C85">
      <w:pPr>
        <w:rPr>
          <w:rFonts w:ascii="Book Antiqua" w:hAnsi="Book Antiqua"/>
          <w:sz w:val="28"/>
          <w:szCs w:val="28"/>
        </w:rPr>
      </w:pPr>
      <w:bookmarkStart w:id="1" w:name="_GoBack"/>
      <w:bookmarkEnd w:id="1"/>
    </w:p>
    <w:sectPr w:rsidR="008267B1" w:rsidRPr="00377F57" w:rsidSect="00F972E4">
      <w:headerReference w:type="default" r:id="rId8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0C8" w:rsidRDefault="001E60C8" w:rsidP="001D1A50">
      <w:r>
        <w:separator/>
      </w:r>
    </w:p>
  </w:endnote>
  <w:endnote w:type="continuationSeparator" w:id="0">
    <w:p w:rsidR="001E60C8" w:rsidRDefault="001E60C8" w:rsidP="001D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0C8" w:rsidRDefault="001E60C8" w:rsidP="001D1A50">
      <w:r>
        <w:separator/>
      </w:r>
    </w:p>
  </w:footnote>
  <w:footnote w:type="continuationSeparator" w:id="0">
    <w:p w:rsidR="001E60C8" w:rsidRDefault="001E60C8" w:rsidP="001D1A50">
      <w:r>
        <w:continuationSeparator/>
      </w:r>
    </w:p>
  </w:footnote>
  <w:footnote w:id="1">
    <w:p w:rsidR="001319A9" w:rsidRPr="001319A9" w:rsidRDefault="001319A9">
      <w:pPr>
        <w:pStyle w:val="FootnoteText"/>
        <w:rPr>
          <w:rFonts w:ascii="Book Antiqua" w:hAnsi="Book Antiqu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Book Antiqua" w:hAnsi="Book Antiqua"/>
          <w:i/>
        </w:rPr>
        <w:t xml:space="preserve">See </w:t>
      </w:r>
      <w:proofErr w:type="spellStart"/>
      <w:r>
        <w:rPr>
          <w:rFonts w:ascii="Book Antiqua" w:hAnsi="Book Antiqua"/>
          <w:i/>
        </w:rPr>
        <w:t>H</w:t>
      </w:r>
      <w:r w:rsidRPr="001319A9">
        <w:rPr>
          <w:rFonts w:ascii="Book Antiqua" w:hAnsi="Book Antiqua"/>
          <w:i/>
        </w:rPr>
        <w:t>einzl</w:t>
      </w:r>
      <w:proofErr w:type="spellEnd"/>
      <w:r w:rsidRPr="001319A9">
        <w:rPr>
          <w:rFonts w:ascii="Book Antiqua" w:hAnsi="Book Antiqua"/>
          <w:i/>
        </w:rPr>
        <w:t xml:space="preserve"> v. Cracker Barrel Old Country Stores, Inc.</w:t>
      </w:r>
      <w:r w:rsidRPr="001319A9">
        <w:rPr>
          <w:rFonts w:ascii="Book Antiqua" w:hAnsi="Book Antiqua"/>
        </w:rPr>
        <w:t xml:space="preserve">, No. 2:14-cv-1455, 2016 WL 2347367, at *11 (W.D. Pa. </w:t>
      </w:r>
      <w:r>
        <w:rPr>
          <w:rFonts w:ascii="Book Antiqua" w:hAnsi="Book Antiqua"/>
        </w:rPr>
        <w:t>Jan. 27, 2016).</w:t>
      </w:r>
    </w:p>
  </w:footnote>
  <w:footnote w:id="2">
    <w:p w:rsidR="006F2A36" w:rsidRPr="006E4B0C" w:rsidRDefault="006F2A36">
      <w:pPr>
        <w:pStyle w:val="FootnoteText"/>
        <w:rPr>
          <w:rFonts w:ascii="Book Antiqua" w:hAnsi="Book Antiqua"/>
        </w:rPr>
      </w:pPr>
      <w:r w:rsidRPr="006E4B0C">
        <w:rPr>
          <w:rStyle w:val="FootnoteReference"/>
          <w:rFonts w:ascii="Book Antiqua" w:hAnsi="Book Antiqua"/>
        </w:rPr>
        <w:footnoteRef/>
      </w:r>
      <w:r w:rsidR="00352120" w:rsidRPr="006E4B0C">
        <w:rPr>
          <w:rFonts w:ascii="Book Antiqua" w:hAnsi="Book Antiqua"/>
        </w:rPr>
        <w:t xml:space="preserve">  </w:t>
      </w:r>
      <w:r w:rsidRPr="006E4B0C">
        <w:rPr>
          <w:rFonts w:ascii="Book Antiqua" w:hAnsi="Book Antiqua"/>
        </w:rPr>
        <w:t xml:space="preserve">The numbers following each </w:t>
      </w:r>
      <w:r w:rsidR="0072279E" w:rsidRPr="006E4B0C">
        <w:rPr>
          <w:rFonts w:ascii="Book Antiqua" w:hAnsi="Book Antiqua"/>
        </w:rPr>
        <w:t xml:space="preserve">item </w:t>
      </w:r>
      <w:r w:rsidRPr="006E4B0C">
        <w:rPr>
          <w:rFonts w:ascii="Book Antiqua" w:hAnsi="Book Antiqua"/>
        </w:rPr>
        <w:t xml:space="preserve">refer to the docket numbers in the PACER </w:t>
      </w:r>
      <w:r w:rsidR="003B35C0">
        <w:rPr>
          <w:rFonts w:ascii="Book Antiqua" w:hAnsi="Book Antiqua"/>
        </w:rPr>
        <w:t>E</w:t>
      </w:r>
      <w:r w:rsidRPr="006E4B0C">
        <w:rPr>
          <w:rFonts w:ascii="Book Antiqua" w:hAnsi="Book Antiqua"/>
        </w:rPr>
        <w:t xml:space="preserve">lectronic </w:t>
      </w:r>
      <w:r w:rsidR="003B35C0">
        <w:rPr>
          <w:rFonts w:ascii="Book Antiqua" w:hAnsi="Book Antiqua"/>
        </w:rPr>
        <w:t xml:space="preserve">Case Filing </w:t>
      </w:r>
      <w:r w:rsidRPr="006E4B0C">
        <w:rPr>
          <w:rFonts w:ascii="Book Antiqua" w:hAnsi="Book Antiqua"/>
        </w:rPr>
        <w:t xml:space="preserve">system, </w:t>
      </w:r>
      <w:hyperlink r:id="rId1" w:history="1">
        <w:r w:rsidRPr="006E4B0C">
          <w:rPr>
            <w:rStyle w:val="Hyperlink"/>
            <w:rFonts w:ascii="Book Antiqua" w:hAnsi="Book Antiqua"/>
          </w:rPr>
          <w:t>www.pacer.gov</w:t>
        </w:r>
      </w:hyperlink>
      <w:r w:rsidRPr="006E4B0C">
        <w:rPr>
          <w:rFonts w:ascii="Book Antiqua" w:hAnsi="Book Antiqua"/>
        </w:rPr>
        <w:t xml:space="preserve">.  All substantive filings related to each </w:t>
      </w:r>
      <w:r w:rsidR="0072279E" w:rsidRPr="006E4B0C">
        <w:rPr>
          <w:rFonts w:ascii="Book Antiqua" w:hAnsi="Book Antiqua"/>
        </w:rPr>
        <w:t>item are listed, including motions and orders.</w:t>
      </w:r>
    </w:p>
  </w:footnote>
  <w:footnote w:id="3">
    <w:p w:rsidR="001D1A50" w:rsidRPr="006E4B0C" w:rsidRDefault="001D1A50" w:rsidP="001D1A50">
      <w:pPr>
        <w:pStyle w:val="FootnoteText"/>
        <w:rPr>
          <w:rFonts w:ascii="Book Antiqua" w:hAnsi="Book Antiqua" w:cs="Times New Roman"/>
          <w:szCs w:val="28"/>
        </w:rPr>
      </w:pPr>
      <w:r w:rsidRPr="006E4B0C">
        <w:rPr>
          <w:rStyle w:val="FootnoteReference"/>
          <w:rFonts w:ascii="Book Antiqua" w:hAnsi="Book Antiqua"/>
          <w:szCs w:val="28"/>
        </w:rPr>
        <w:footnoteRef/>
      </w:r>
      <w:r w:rsidRPr="006E4B0C">
        <w:rPr>
          <w:rFonts w:ascii="Book Antiqua" w:hAnsi="Book Antiqua" w:cs="Times New Roman"/>
          <w:szCs w:val="28"/>
        </w:rPr>
        <w:t xml:space="preserve"> </w:t>
      </w:r>
      <w:proofErr w:type="spellStart"/>
      <w:r w:rsidRPr="006E4B0C">
        <w:rPr>
          <w:rFonts w:ascii="Book Antiqua" w:hAnsi="Book Antiqua" w:cs="Times New Roman"/>
          <w:i/>
          <w:szCs w:val="28"/>
        </w:rPr>
        <w:t>Heinzl</w:t>
      </w:r>
      <w:proofErr w:type="spellEnd"/>
      <w:r w:rsidRPr="006E4B0C">
        <w:rPr>
          <w:rFonts w:ascii="Book Antiqua" w:hAnsi="Book Antiqua" w:cs="Times New Roman"/>
          <w:i/>
          <w:szCs w:val="28"/>
        </w:rPr>
        <w:t xml:space="preserve"> v. Cracker Barrel Old Country Store, Inc.</w:t>
      </w:r>
      <w:r w:rsidRPr="006E4B0C">
        <w:rPr>
          <w:rFonts w:ascii="Book Antiqua" w:hAnsi="Book Antiqua" w:cs="Times New Roman"/>
          <w:szCs w:val="28"/>
        </w:rPr>
        <w:t>, No. 2:14-CV-1455, 2016 WL 1761963 (W.D. Pa. Apr. 29, 2016).</w:t>
      </w:r>
    </w:p>
  </w:footnote>
  <w:footnote w:id="4">
    <w:p w:rsidR="001D1A50" w:rsidRPr="006E4B0C" w:rsidRDefault="001D1A50" w:rsidP="001D1A50">
      <w:pPr>
        <w:pStyle w:val="FootnoteText"/>
        <w:rPr>
          <w:rFonts w:ascii="Book Antiqua" w:hAnsi="Book Antiqua" w:cs="Times New Roman"/>
          <w:szCs w:val="28"/>
        </w:rPr>
      </w:pPr>
      <w:r w:rsidRPr="006E4B0C">
        <w:rPr>
          <w:rStyle w:val="FootnoteReference"/>
          <w:rFonts w:ascii="Book Antiqua" w:hAnsi="Book Antiqua"/>
          <w:szCs w:val="28"/>
        </w:rPr>
        <w:footnoteRef/>
      </w:r>
      <w:r w:rsidR="006E4B0C">
        <w:rPr>
          <w:rFonts w:ascii="Book Antiqua" w:hAnsi="Book Antiqua" w:cs="Times New Roman"/>
          <w:szCs w:val="28"/>
        </w:rPr>
        <w:t xml:space="preserve">  </w:t>
      </w:r>
      <w:proofErr w:type="spellStart"/>
      <w:r w:rsidRPr="006E4B0C">
        <w:rPr>
          <w:rFonts w:ascii="Book Antiqua" w:hAnsi="Book Antiqua" w:cs="Times New Roman"/>
          <w:i/>
          <w:szCs w:val="28"/>
        </w:rPr>
        <w:t>Heinzl</w:t>
      </w:r>
      <w:proofErr w:type="spellEnd"/>
      <w:r w:rsidRPr="006E4B0C">
        <w:rPr>
          <w:rFonts w:ascii="Book Antiqua" w:hAnsi="Book Antiqua" w:cs="Times New Roman"/>
          <w:i/>
          <w:szCs w:val="28"/>
        </w:rPr>
        <w:t xml:space="preserve"> v. Cracker Barrel Old Country Store, Inc.,</w:t>
      </w:r>
      <w:r w:rsidRPr="006E4B0C">
        <w:rPr>
          <w:rFonts w:ascii="Book Antiqua" w:hAnsi="Book Antiqua" w:cs="Times New Roman"/>
          <w:szCs w:val="28"/>
        </w:rPr>
        <w:t xml:space="preserve"> No. 2:14-CV-1455, 2015 WL 6604015 (W.D. Pa. Oct. 29, 2015). </w:t>
      </w:r>
    </w:p>
  </w:footnote>
  <w:footnote w:id="5">
    <w:p w:rsidR="001D1A50" w:rsidRPr="00C13A13" w:rsidRDefault="001D1A50" w:rsidP="001D1A50">
      <w:pPr>
        <w:pStyle w:val="FootnoteText"/>
        <w:rPr>
          <w:rFonts w:cs="Times New Roman"/>
          <w:szCs w:val="28"/>
        </w:rPr>
      </w:pPr>
      <w:r w:rsidRPr="006E4B0C">
        <w:rPr>
          <w:rStyle w:val="FootnoteReference"/>
          <w:rFonts w:ascii="Book Antiqua" w:hAnsi="Book Antiqua"/>
          <w:szCs w:val="28"/>
        </w:rPr>
        <w:footnoteRef/>
      </w:r>
      <w:r w:rsidRPr="006E4B0C">
        <w:rPr>
          <w:rFonts w:ascii="Book Antiqua" w:hAnsi="Book Antiqua" w:cs="Times New Roman"/>
          <w:szCs w:val="28"/>
        </w:rPr>
        <w:t xml:space="preserve"> </w:t>
      </w:r>
      <w:r w:rsidR="006E4B0C">
        <w:rPr>
          <w:rFonts w:ascii="Book Antiqua" w:hAnsi="Book Antiqua" w:cs="Times New Roman"/>
          <w:szCs w:val="28"/>
        </w:rPr>
        <w:t xml:space="preserve"> </w:t>
      </w:r>
      <w:proofErr w:type="spellStart"/>
      <w:r w:rsidRPr="006E4B0C">
        <w:rPr>
          <w:rFonts w:ascii="Book Antiqua" w:hAnsi="Book Antiqua" w:cs="Times New Roman"/>
          <w:i/>
          <w:szCs w:val="28"/>
        </w:rPr>
        <w:t>Heinzl</w:t>
      </w:r>
      <w:proofErr w:type="spellEnd"/>
      <w:r w:rsidRPr="006E4B0C">
        <w:rPr>
          <w:rFonts w:ascii="Book Antiqua" w:hAnsi="Book Antiqua" w:cs="Times New Roman"/>
          <w:szCs w:val="28"/>
        </w:rPr>
        <w:t>, 2016 WL 1761963</w:t>
      </w:r>
      <w:r>
        <w:rPr>
          <w:rFonts w:cs="Times New Roman"/>
          <w:szCs w:val="28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2E4" w:rsidRPr="008D2C5C" w:rsidRDefault="001D2C3D">
    <w:pPr>
      <w:pStyle w:val="Header"/>
      <w:rPr>
        <w:rFonts w:ascii="Book Antiqua" w:hAnsi="Book Antiqua"/>
        <w:b/>
      </w:rPr>
    </w:pPr>
    <w:r w:rsidRPr="001D2C3D">
      <w:rPr>
        <w:rFonts w:ascii="Book Antiqua" w:hAnsi="Book Antiqua"/>
        <w:b/>
      </w:rPr>
      <w:t>CREEC Case Study: ADA Defense Abuse</w:t>
    </w:r>
    <w:r w:rsidR="00F972E4" w:rsidRPr="001D2C3D">
      <w:rPr>
        <w:rFonts w:ascii="Book Antiqua" w:hAnsi="Book Antiqua"/>
        <w:b/>
      </w:rPr>
      <w:ptab w:relativeTo="margin" w:alignment="center" w:leader="none"/>
    </w:r>
    <w:r w:rsidR="00F972E4" w:rsidRPr="001D2C3D">
      <w:rPr>
        <w:rFonts w:ascii="Book Antiqua" w:hAnsi="Book Antiqua"/>
        <w:b/>
      </w:rPr>
      <w:ptab w:relativeTo="margin" w:alignment="right" w:leader="none"/>
    </w:r>
    <w:r w:rsidRPr="001D2C3D">
      <w:rPr>
        <w:rFonts w:ascii="Book Antiqua" w:hAnsi="Book Antiqua"/>
        <w:b/>
      </w:rPr>
      <w:t xml:space="preserve">Page </w:t>
    </w:r>
    <w:r w:rsidRPr="001D2C3D">
      <w:rPr>
        <w:rFonts w:ascii="Book Antiqua" w:hAnsi="Book Antiqua"/>
        <w:b/>
      </w:rPr>
      <w:fldChar w:fldCharType="begin"/>
    </w:r>
    <w:r w:rsidRPr="001D2C3D">
      <w:rPr>
        <w:rFonts w:ascii="Book Antiqua" w:hAnsi="Book Antiqua"/>
        <w:b/>
      </w:rPr>
      <w:instrText xml:space="preserve"> PAGE   \* MERGEFORMAT </w:instrText>
    </w:r>
    <w:r w:rsidRPr="001D2C3D">
      <w:rPr>
        <w:rFonts w:ascii="Book Antiqua" w:hAnsi="Book Antiqua"/>
        <w:b/>
      </w:rPr>
      <w:fldChar w:fldCharType="separate"/>
    </w:r>
    <w:r w:rsidR="00F8777F">
      <w:rPr>
        <w:rFonts w:ascii="Book Antiqua" w:hAnsi="Book Antiqua"/>
        <w:b/>
        <w:noProof/>
      </w:rPr>
      <w:t>4</w:t>
    </w:r>
    <w:r w:rsidRPr="001D2C3D">
      <w:rPr>
        <w:rFonts w:ascii="Book Antiqua" w:hAnsi="Book Antiqua"/>
        <w:b/>
        <w:noProof/>
      </w:rPr>
      <w:fldChar w:fldCharType="end"/>
    </w:r>
  </w:p>
  <w:p w:rsidR="008D2C5C" w:rsidRPr="001D2C3D" w:rsidRDefault="008D2C5C">
    <w:pPr>
      <w:pStyle w:val="Header"/>
      <w:rPr>
        <w:rFonts w:ascii="Book Antiqua" w:hAnsi="Book Antiqu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4B80F3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B78023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A90A17"/>
    <w:multiLevelType w:val="multilevel"/>
    <w:tmpl w:val="A15CF212"/>
    <w:lvl w:ilvl="0">
      <w:start w:val="1"/>
      <w:numFmt w:val="decimal"/>
      <w:pStyle w:val="Parano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F74757F"/>
    <w:multiLevelType w:val="multilevel"/>
    <w:tmpl w:val="CD860DE2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9377DB0"/>
    <w:multiLevelType w:val="hybridMultilevel"/>
    <w:tmpl w:val="F57E9CB6"/>
    <w:lvl w:ilvl="0" w:tplc="9C1C4ABA">
      <w:start w:val="1"/>
      <w:numFmt w:val="lowerLetter"/>
      <w:pStyle w:val="Heading6"/>
      <w:lvlText w:val="(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9685823"/>
    <w:multiLevelType w:val="hybridMultilevel"/>
    <w:tmpl w:val="13B67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C8F2998"/>
    <w:multiLevelType w:val="hybridMultilevel"/>
    <w:tmpl w:val="D53CF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B58C4D4">
      <w:start w:val="1"/>
      <w:numFmt w:val="decimal"/>
      <w:pStyle w:val="NotesOutline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F434C"/>
    <w:multiLevelType w:val="hybridMultilevel"/>
    <w:tmpl w:val="FB5CAB56"/>
    <w:lvl w:ilvl="0" w:tplc="F8AA276A">
      <w:start w:val="1"/>
      <w:numFmt w:val="decimal"/>
      <w:pStyle w:val="Heading3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CC39C7"/>
    <w:multiLevelType w:val="hybridMultilevel"/>
    <w:tmpl w:val="544C3DEE"/>
    <w:lvl w:ilvl="0" w:tplc="F334D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44FED"/>
    <w:multiLevelType w:val="hybridMultilevel"/>
    <w:tmpl w:val="1EA4CF56"/>
    <w:lvl w:ilvl="0" w:tplc="DFB0FFBC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305E25"/>
    <w:multiLevelType w:val="hybridMultilevel"/>
    <w:tmpl w:val="97EEEBB2"/>
    <w:lvl w:ilvl="0" w:tplc="A48CF77A">
      <w:start w:val="1"/>
      <w:numFmt w:val="decimal"/>
      <w:pStyle w:val="Heading5"/>
      <w:lvlText w:val="(%1)"/>
      <w:lvlJc w:val="left"/>
      <w:pPr>
        <w:ind w:left="43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 w15:restartNumberingAfterBreak="0">
    <w:nsid w:val="7108107D"/>
    <w:multiLevelType w:val="multilevel"/>
    <w:tmpl w:val="0ACC74E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6EF7091"/>
    <w:multiLevelType w:val="hybridMultilevel"/>
    <w:tmpl w:val="1FF669EC"/>
    <w:lvl w:ilvl="0" w:tplc="6258578C">
      <w:start w:val="1"/>
      <w:numFmt w:val="decimal"/>
      <w:lvlText w:val="%1."/>
      <w:lvlJc w:val="left"/>
      <w:pPr>
        <w:ind w:left="1584" w:hanging="50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C51535"/>
    <w:multiLevelType w:val="hybridMultilevel"/>
    <w:tmpl w:val="87E4C1DE"/>
    <w:lvl w:ilvl="0" w:tplc="9DF8E436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E0F6768"/>
    <w:multiLevelType w:val="hybridMultilevel"/>
    <w:tmpl w:val="5426AFE4"/>
    <w:lvl w:ilvl="0" w:tplc="7516273C">
      <w:start w:val="1"/>
      <w:numFmt w:val="upperRoman"/>
      <w:pStyle w:val="Heading1"/>
      <w:lvlText w:val="%1."/>
      <w:lvlJc w:val="righ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11"/>
  </w:num>
  <w:num w:numId="9">
    <w:abstractNumId w:val="14"/>
  </w:num>
  <w:num w:numId="10">
    <w:abstractNumId w:val="0"/>
  </w:num>
  <w:num w:numId="11">
    <w:abstractNumId w:val="2"/>
  </w:num>
  <w:num w:numId="12">
    <w:abstractNumId w:val="9"/>
  </w:num>
  <w:num w:numId="13">
    <w:abstractNumId w:val="3"/>
  </w:num>
  <w:num w:numId="14">
    <w:abstractNumId w:val="13"/>
  </w:num>
  <w:num w:numId="15">
    <w:abstractNumId w:val="5"/>
  </w:num>
  <w:num w:numId="1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50"/>
    <w:rsid w:val="000207C4"/>
    <w:rsid w:val="00043BD7"/>
    <w:rsid w:val="000504FF"/>
    <w:rsid w:val="00077F44"/>
    <w:rsid w:val="000858B5"/>
    <w:rsid w:val="000A7BA4"/>
    <w:rsid w:val="000D0A09"/>
    <w:rsid w:val="000E1C6A"/>
    <w:rsid w:val="001124E3"/>
    <w:rsid w:val="00120C07"/>
    <w:rsid w:val="001255F0"/>
    <w:rsid w:val="001319A9"/>
    <w:rsid w:val="00132EF3"/>
    <w:rsid w:val="00134F29"/>
    <w:rsid w:val="001626A3"/>
    <w:rsid w:val="00180AF7"/>
    <w:rsid w:val="001B0B01"/>
    <w:rsid w:val="001B2F1A"/>
    <w:rsid w:val="001B4775"/>
    <w:rsid w:val="001C4095"/>
    <w:rsid w:val="001D1A50"/>
    <w:rsid w:val="001D2C3D"/>
    <w:rsid w:val="001D6EBC"/>
    <w:rsid w:val="001E60C8"/>
    <w:rsid w:val="00220E74"/>
    <w:rsid w:val="002270AF"/>
    <w:rsid w:val="002420CF"/>
    <w:rsid w:val="00265330"/>
    <w:rsid w:val="002926FA"/>
    <w:rsid w:val="002C5D23"/>
    <w:rsid w:val="002E0E11"/>
    <w:rsid w:val="003053E0"/>
    <w:rsid w:val="003109FC"/>
    <w:rsid w:val="00315802"/>
    <w:rsid w:val="00331551"/>
    <w:rsid w:val="003478DB"/>
    <w:rsid w:val="00352120"/>
    <w:rsid w:val="00360F48"/>
    <w:rsid w:val="00364418"/>
    <w:rsid w:val="00377F57"/>
    <w:rsid w:val="0038321A"/>
    <w:rsid w:val="003A1117"/>
    <w:rsid w:val="003B2C40"/>
    <w:rsid w:val="003B35C0"/>
    <w:rsid w:val="003F4D00"/>
    <w:rsid w:val="003F7AB6"/>
    <w:rsid w:val="00415507"/>
    <w:rsid w:val="004370BC"/>
    <w:rsid w:val="00437537"/>
    <w:rsid w:val="00445CE1"/>
    <w:rsid w:val="004D0B26"/>
    <w:rsid w:val="004D6939"/>
    <w:rsid w:val="00507C85"/>
    <w:rsid w:val="0051721F"/>
    <w:rsid w:val="00521A8D"/>
    <w:rsid w:val="00530217"/>
    <w:rsid w:val="00533F6F"/>
    <w:rsid w:val="00544D4F"/>
    <w:rsid w:val="0055338B"/>
    <w:rsid w:val="00553A82"/>
    <w:rsid w:val="00555C2E"/>
    <w:rsid w:val="00557E81"/>
    <w:rsid w:val="00587AF0"/>
    <w:rsid w:val="0059021D"/>
    <w:rsid w:val="005976AE"/>
    <w:rsid w:val="005B1926"/>
    <w:rsid w:val="005C44DA"/>
    <w:rsid w:val="005C7899"/>
    <w:rsid w:val="005C7EDF"/>
    <w:rsid w:val="005F000A"/>
    <w:rsid w:val="005F7308"/>
    <w:rsid w:val="006563BA"/>
    <w:rsid w:val="00665CE9"/>
    <w:rsid w:val="006C1E85"/>
    <w:rsid w:val="006C65ED"/>
    <w:rsid w:val="006E4B0C"/>
    <w:rsid w:val="006F2A36"/>
    <w:rsid w:val="00717A94"/>
    <w:rsid w:val="0072279E"/>
    <w:rsid w:val="0074108A"/>
    <w:rsid w:val="008162CD"/>
    <w:rsid w:val="008267B1"/>
    <w:rsid w:val="00833590"/>
    <w:rsid w:val="00851963"/>
    <w:rsid w:val="00866232"/>
    <w:rsid w:val="00880466"/>
    <w:rsid w:val="00883C2F"/>
    <w:rsid w:val="0088444F"/>
    <w:rsid w:val="008D2C5C"/>
    <w:rsid w:val="008E3ACA"/>
    <w:rsid w:val="00916463"/>
    <w:rsid w:val="0092367B"/>
    <w:rsid w:val="00970EB5"/>
    <w:rsid w:val="0097340C"/>
    <w:rsid w:val="009B5DF3"/>
    <w:rsid w:val="009C2057"/>
    <w:rsid w:val="009E5B80"/>
    <w:rsid w:val="00A0383F"/>
    <w:rsid w:val="00A42C33"/>
    <w:rsid w:val="00A633B3"/>
    <w:rsid w:val="00A646F2"/>
    <w:rsid w:val="00AC2575"/>
    <w:rsid w:val="00AC458E"/>
    <w:rsid w:val="00B26E38"/>
    <w:rsid w:val="00B60DF0"/>
    <w:rsid w:val="00B9213E"/>
    <w:rsid w:val="00BA4600"/>
    <w:rsid w:val="00BF2C46"/>
    <w:rsid w:val="00C33419"/>
    <w:rsid w:val="00C653A0"/>
    <w:rsid w:val="00CB383B"/>
    <w:rsid w:val="00CD0A8F"/>
    <w:rsid w:val="00CE3472"/>
    <w:rsid w:val="00D03B2A"/>
    <w:rsid w:val="00D2773E"/>
    <w:rsid w:val="00D42AF6"/>
    <w:rsid w:val="00D60199"/>
    <w:rsid w:val="00E0774B"/>
    <w:rsid w:val="00E25298"/>
    <w:rsid w:val="00E478E8"/>
    <w:rsid w:val="00EA1BC1"/>
    <w:rsid w:val="00EA45B3"/>
    <w:rsid w:val="00EB3451"/>
    <w:rsid w:val="00EB468B"/>
    <w:rsid w:val="00EB4988"/>
    <w:rsid w:val="00EC3432"/>
    <w:rsid w:val="00EF042C"/>
    <w:rsid w:val="00F25C52"/>
    <w:rsid w:val="00F8777F"/>
    <w:rsid w:val="00F942D0"/>
    <w:rsid w:val="00F972E4"/>
    <w:rsid w:val="00FA39A1"/>
    <w:rsid w:val="00FC2E34"/>
    <w:rsid w:val="00FE2BB4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5DD17"/>
  <w15:chartTrackingRefBased/>
  <w15:docId w15:val="{0895E3E2-2331-4E38-9EA1-E3DC7A1C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463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Number"/>
    <w:next w:val="Normal"/>
    <w:link w:val="Heading1Char"/>
    <w:autoRedefine/>
    <w:uiPriority w:val="9"/>
    <w:qFormat/>
    <w:rsid w:val="00FA39A1"/>
    <w:pPr>
      <w:numPr>
        <w:numId w:val="9"/>
      </w:numPr>
      <w:spacing w:after="240"/>
      <w:ind w:left="720" w:hanging="720"/>
      <w:contextualSpacing w:val="0"/>
      <w:outlineLvl w:val="0"/>
    </w:pPr>
    <w:rPr>
      <w:rFonts w:cs="Times New Roman"/>
      <w:b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AC2575"/>
    <w:pPr>
      <w:numPr>
        <w:numId w:val="13"/>
      </w:numPr>
      <w:ind w:hanging="432"/>
      <w:outlineLvl w:val="1"/>
    </w:pPr>
    <w:rPr>
      <w:rFonts w:asciiTheme="minorHAnsi" w:hAnsiTheme="minorHAnsi"/>
      <w:sz w:val="22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364418"/>
    <w:pPr>
      <w:numPr>
        <w:numId w:val="5"/>
      </w:numPr>
      <w:ind w:left="1080"/>
      <w:outlineLvl w:val="2"/>
    </w:p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445CE1"/>
    <w:pPr>
      <w:numPr>
        <w:ilvl w:val="3"/>
        <w:numId w:val="8"/>
      </w:numPr>
      <w:outlineLvl w:val="3"/>
    </w:pPr>
  </w:style>
  <w:style w:type="paragraph" w:styleId="Heading5">
    <w:name w:val="heading 5"/>
    <w:basedOn w:val="Heading4"/>
    <w:next w:val="Normal"/>
    <w:link w:val="Heading5Char"/>
    <w:autoRedefine/>
    <w:uiPriority w:val="9"/>
    <w:unhideWhenUsed/>
    <w:qFormat/>
    <w:rsid w:val="00A646F2"/>
    <w:pPr>
      <w:numPr>
        <w:ilvl w:val="0"/>
        <w:numId w:val="6"/>
      </w:numPr>
      <w:ind w:left="1800"/>
      <w:outlineLvl w:val="4"/>
    </w:pPr>
    <w:rPr>
      <w:rFonts w:cstheme="minorBidi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507C85"/>
    <w:pPr>
      <w:keepNext/>
      <w:keepLines/>
      <w:numPr>
        <w:numId w:val="7"/>
      </w:numPr>
      <w:spacing w:before="40"/>
      <w:ind w:left="2160"/>
      <w:outlineLvl w:val="5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C65ED"/>
    <w:rPr>
      <w:rFonts w:asciiTheme="minorHAnsi" w:hAnsiTheme="minorHAnsi"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65ED"/>
    <w:rPr>
      <w:szCs w:val="20"/>
    </w:rPr>
  </w:style>
  <w:style w:type="paragraph" w:customStyle="1" w:styleId="AppellateBrief">
    <w:name w:val="Appellate Brief"/>
    <w:qFormat/>
    <w:rsid w:val="00364418"/>
    <w:pPr>
      <w:spacing w:line="480" w:lineRule="auto"/>
      <w:ind w:firstLine="720"/>
    </w:pPr>
    <w:rPr>
      <w:rFonts w:ascii="Century Schoolbook" w:eastAsiaTheme="majorEastAsia" w:hAnsi="Century Schoolbook" w:cstheme="majorBidi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A39A1"/>
    <w:rPr>
      <w:rFonts w:ascii="Verdana" w:hAnsi="Verdana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2575"/>
    <w:rPr>
      <w:rFonts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364418"/>
    <w:rPr>
      <w:rFonts w:ascii="Verdana" w:hAnsi="Verdana" w:cs="Times New Roman"/>
      <w:sz w:val="24"/>
      <w:u w:val="single"/>
    </w:rPr>
  </w:style>
  <w:style w:type="paragraph" w:customStyle="1" w:styleId="Paranos">
    <w:name w:val="Paranos"/>
    <w:basedOn w:val="ListNumber"/>
    <w:link w:val="ParanosChar"/>
    <w:autoRedefine/>
    <w:qFormat/>
    <w:rsid w:val="004D6939"/>
    <w:pPr>
      <w:numPr>
        <w:numId w:val="11"/>
      </w:numPr>
      <w:tabs>
        <w:tab w:val="left" w:pos="0"/>
      </w:tabs>
      <w:spacing w:line="480" w:lineRule="auto"/>
      <w:ind w:left="0" w:firstLine="720"/>
    </w:pPr>
    <w:rPr>
      <w:rFonts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E077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74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077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74B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077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77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774B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0774B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uiPriority w:val="99"/>
    <w:unhideWhenUsed/>
    <w:rsid w:val="00E0774B"/>
    <w:rPr>
      <w:color w:val="0563C1"/>
      <w:u w:val="single"/>
    </w:rPr>
  </w:style>
  <w:style w:type="paragraph" w:styleId="NoSpacing">
    <w:name w:val="No Spacing"/>
    <w:uiPriority w:val="1"/>
    <w:qFormat/>
    <w:rsid w:val="00E0774B"/>
    <w:rPr>
      <w:rFonts w:ascii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0774B"/>
    <w:pPr>
      <w:ind w:left="720"/>
      <w:contextualSpacing/>
    </w:pPr>
  </w:style>
  <w:style w:type="paragraph" w:customStyle="1" w:styleId="NotesOutline">
    <w:name w:val="Notes Outline"/>
    <w:basedOn w:val="ListParagraph"/>
    <w:link w:val="NotesOutlineChar"/>
    <w:autoRedefine/>
    <w:qFormat/>
    <w:rsid w:val="00FA39A1"/>
    <w:pPr>
      <w:numPr>
        <w:ilvl w:val="3"/>
        <w:numId w:val="1"/>
      </w:numPr>
      <w:spacing w:after="240"/>
      <w:ind w:left="720" w:hanging="720"/>
      <w:contextualSpacing w:val="0"/>
    </w:pPr>
  </w:style>
  <w:style w:type="character" w:customStyle="1" w:styleId="NotesOutlineChar">
    <w:name w:val="Notes Outline Char"/>
    <w:basedOn w:val="DefaultParagraphFont"/>
    <w:link w:val="NotesOutline"/>
    <w:rsid w:val="00FA39A1"/>
    <w:rPr>
      <w:rFonts w:ascii="Verdana" w:hAnsi="Verdana"/>
      <w:sz w:val="24"/>
    </w:rPr>
  </w:style>
  <w:style w:type="paragraph" w:customStyle="1" w:styleId="Text">
    <w:name w:val="Text"/>
    <w:basedOn w:val="Normal"/>
    <w:link w:val="TextChar"/>
    <w:qFormat/>
    <w:rsid w:val="00331551"/>
    <w:pPr>
      <w:ind w:firstLine="720"/>
    </w:pPr>
    <w:rPr>
      <w:rFonts w:asciiTheme="minorHAnsi" w:hAnsiTheme="minorHAnsi"/>
      <w:sz w:val="22"/>
    </w:rPr>
  </w:style>
  <w:style w:type="character" w:customStyle="1" w:styleId="TextChar">
    <w:name w:val="Text Char"/>
    <w:basedOn w:val="DefaultParagraphFont"/>
    <w:link w:val="Text"/>
    <w:rsid w:val="00331551"/>
  </w:style>
  <w:style w:type="paragraph" w:customStyle="1" w:styleId="Indentedquote">
    <w:name w:val="Indented quote"/>
    <w:basedOn w:val="Normal"/>
    <w:link w:val="IndentedquoteChar"/>
    <w:autoRedefine/>
    <w:qFormat/>
    <w:rsid w:val="00EB4988"/>
    <w:pPr>
      <w:autoSpaceDE w:val="0"/>
      <w:autoSpaceDN w:val="0"/>
      <w:adjustRightInd w:val="0"/>
      <w:ind w:left="720" w:right="720"/>
    </w:pPr>
  </w:style>
  <w:style w:type="character" w:customStyle="1" w:styleId="IndentedquoteChar">
    <w:name w:val="Indented quote Char"/>
    <w:basedOn w:val="DefaultParagraphFont"/>
    <w:link w:val="Indentedquote"/>
    <w:rsid w:val="00EB4988"/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A45B3"/>
    <w:rPr>
      <w:rFonts w:ascii="Verdana" w:hAnsi="Verdana" w:cs="Times New Roman"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646F2"/>
    <w:rPr>
      <w:rFonts w:ascii="Verdana" w:hAnsi="Verdana"/>
      <w:sz w:val="24"/>
      <w:u w:val="single"/>
    </w:rPr>
  </w:style>
  <w:style w:type="paragraph" w:customStyle="1" w:styleId="Footnote">
    <w:name w:val="Footnote"/>
    <w:basedOn w:val="FootnoteText"/>
    <w:qFormat/>
    <w:rsid w:val="00331551"/>
    <w:pPr>
      <w:ind w:firstLine="720"/>
    </w:pPr>
    <w:rPr>
      <w:rFonts w:ascii="Times New Roman" w:hAnsi="Times New Roman"/>
      <w:sz w:val="24"/>
    </w:rPr>
  </w:style>
  <w:style w:type="paragraph" w:styleId="ListNumber">
    <w:name w:val="List Number"/>
    <w:basedOn w:val="Normal"/>
    <w:uiPriority w:val="99"/>
    <w:semiHidden/>
    <w:unhideWhenUsed/>
    <w:rsid w:val="00EB468B"/>
    <w:pPr>
      <w:numPr>
        <w:numId w:val="2"/>
      </w:numPr>
      <w:contextualSpacing/>
    </w:pPr>
  </w:style>
  <w:style w:type="character" w:customStyle="1" w:styleId="ParanosChar">
    <w:name w:val="Paranos Char"/>
    <w:basedOn w:val="DefaultParagraphFont"/>
    <w:link w:val="Paranos"/>
    <w:rsid w:val="004D6939"/>
    <w:rPr>
      <w:rFonts w:ascii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rsid w:val="00507C85"/>
    <w:rPr>
      <w:rFonts w:ascii="Verdana" w:eastAsiaTheme="majorEastAsia" w:hAnsi="Verdana" w:cstheme="majorBidi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1A5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F2A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cer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Robertson</dc:creator>
  <cp:keywords/>
  <dc:description/>
  <cp:lastModifiedBy>Amy Robertson</cp:lastModifiedBy>
  <cp:revision>5</cp:revision>
  <dcterms:created xsi:type="dcterms:W3CDTF">2018-02-26T16:36:00Z</dcterms:created>
  <dcterms:modified xsi:type="dcterms:W3CDTF">2018-02-27T15:16:00Z</dcterms:modified>
</cp:coreProperties>
</file>